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区财政局202</w:t>
      </w:r>
      <w:r>
        <w:rPr>
          <w:rFonts w:hint="eastAsia" w:ascii="方正小标宋简体" w:hAnsi="方正小标宋简体" w:eastAsia="方正小标宋简体"/>
          <w:sz w:val="44"/>
          <w:szCs w:val="44"/>
          <w:lang w:val="en-US" w:eastAsia="zh-CN"/>
        </w:rPr>
        <w:t>2</w:t>
      </w:r>
      <w:r>
        <w:rPr>
          <w:rFonts w:hint="eastAsia" w:ascii="方正小标宋简体" w:hAnsi="方正小标宋简体" w:eastAsia="方正小标宋简体"/>
          <w:sz w:val="44"/>
          <w:szCs w:val="44"/>
        </w:rPr>
        <w:t>年度法治建设报告</w:t>
      </w:r>
    </w:p>
    <w:p>
      <w:pPr>
        <w:spacing w:line="560" w:lineRule="exact"/>
        <w:jc w:val="center"/>
        <w:rPr>
          <w:rFonts w:hint="eastAsia" w:ascii="方正小标宋简体" w:hAnsi="方正小标宋简体" w:eastAsia="方正小标宋简体"/>
          <w:sz w:val="44"/>
          <w:szCs w:val="44"/>
        </w:rPr>
      </w:pPr>
    </w:p>
    <w:p>
      <w:pPr>
        <w:pStyle w:val="4"/>
        <w:widowControl/>
        <w:spacing w:before="0" w:beforeAutospacing="0" w:after="0" w:afterAutospacing="0" w:line="560" w:lineRule="exact"/>
        <w:ind w:firstLine="645"/>
        <w:rPr>
          <w:rFonts w:ascii="仿宋_GB2312" w:hAnsi="宋体" w:eastAsia="仿宋_GB2312"/>
          <w:sz w:val="32"/>
          <w:szCs w:val="32"/>
        </w:rPr>
      </w:pPr>
      <w:r>
        <w:rPr>
          <w:rFonts w:hint="eastAsia" w:ascii="仿宋_GB2312" w:hAnsi="宋体" w:eastAsia="仿宋_GB2312" w:cs="宋体"/>
          <w:sz w:val="32"/>
          <w:szCs w:val="32"/>
        </w:rPr>
        <w:t>202</w:t>
      </w:r>
      <w:r>
        <w:rPr>
          <w:rFonts w:hint="eastAsia" w:ascii="仿宋_GB2312" w:hAnsi="宋体" w:eastAsia="仿宋_GB2312" w:cs="宋体"/>
          <w:sz w:val="32"/>
          <w:szCs w:val="32"/>
          <w:lang w:val="en-US" w:eastAsia="zh-CN"/>
        </w:rPr>
        <w:t>2</w:t>
      </w:r>
      <w:r>
        <w:rPr>
          <w:rFonts w:hint="eastAsia" w:ascii="仿宋_GB2312" w:hAnsi="宋体" w:eastAsia="仿宋_GB2312" w:cs="宋体"/>
          <w:sz w:val="32"/>
          <w:szCs w:val="32"/>
        </w:rPr>
        <w:t>年，区财政局深入贯彻习近</w:t>
      </w:r>
      <w:bookmarkStart w:id="0" w:name="_GoBack"/>
      <w:bookmarkEnd w:id="0"/>
      <w:r>
        <w:rPr>
          <w:rFonts w:hint="eastAsia" w:ascii="仿宋_GB2312" w:hAnsi="宋体" w:eastAsia="仿宋_GB2312" w:cs="宋体"/>
          <w:sz w:val="32"/>
          <w:szCs w:val="32"/>
        </w:rPr>
        <w:t>平总书记系列重要讲话精神，全面规范财政执法行为，积极开展财政法治宣传活动，有效推进了区财政局依法行政、依法理财工作进程。</w:t>
      </w:r>
    </w:p>
    <w:p>
      <w:pPr>
        <w:pStyle w:val="4"/>
        <w:widowControl/>
        <w:spacing w:before="0" w:beforeAutospacing="0" w:after="0" w:afterAutospacing="0" w:line="560" w:lineRule="exact"/>
        <w:ind w:firstLine="640" w:firstLineChars="200"/>
        <w:rPr>
          <w:rFonts w:ascii="黑体" w:hAnsi="宋体" w:eastAsia="黑体"/>
          <w:sz w:val="32"/>
          <w:szCs w:val="32"/>
        </w:rPr>
      </w:pPr>
      <w:r>
        <w:rPr>
          <w:rFonts w:hint="eastAsia" w:ascii="黑体" w:hAnsi="宋体" w:eastAsia="黑体" w:cs="宋体"/>
          <w:sz w:val="32"/>
          <w:szCs w:val="32"/>
        </w:rPr>
        <w:t>一、202</w:t>
      </w:r>
      <w:r>
        <w:rPr>
          <w:rFonts w:hint="eastAsia" w:ascii="黑体" w:hAnsi="宋体" w:eastAsia="黑体" w:cs="宋体"/>
          <w:sz w:val="32"/>
          <w:szCs w:val="32"/>
          <w:lang w:val="en-US" w:eastAsia="zh-CN"/>
        </w:rPr>
        <w:t>2</w:t>
      </w:r>
      <w:r>
        <w:rPr>
          <w:rFonts w:hint="eastAsia" w:ascii="黑体" w:hAnsi="宋体" w:eastAsia="黑体" w:cs="宋体"/>
          <w:sz w:val="32"/>
          <w:szCs w:val="32"/>
        </w:rPr>
        <w:t>年主要工作</w:t>
      </w:r>
    </w:p>
    <w:p>
      <w:pPr>
        <w:pStyle w:val="4"/>
        <w:widowControl/>
        <w:spacing w:before="0" w:beforeAutospacing="0" w:after="0" w:afterAutospacing="0" w:line="560" w:lineRule="exact"/>
        <w:rPr>
          <w:rFonts w:ascii="楷体_GB2312" w:hAnsi="宋体" w:eastAsia="楷体_GB2312"/>
          <w:sz w:val="32"/>
          <w:szCs w:val="32"/>
        </w:rPr>
      </w:pPr>
      <w:r>
        <w:rPr>
          <w:rFonts w:hint="eastAsia" w:ascii="楷体_GB2312" w:hAnsi="宋体" w:eastAsia="楷体_GB2312" w:cs="宋体"/>
          <w:sz w:val="32"/>
          <w:szCs w:val="32"/>
        </w:rPr>
        <w:t>　　（一）加大普法力度，强化队伍建设</w:t>
      </w:r>
    </w:p>
    <w:p>
      <w:pPr>
        <w:pStyle w:val="4"/>
        <w:widowControl/>
        <w:spacing w:before="0" w:beforeAutospacing="0" w:after="0" w:afterAutospacing="0" w:line="560" w:lineRule="exact"/>
        <w:ind w:firstLine="640" w:firstLineChars="200"/>
        <w:rPr>
          <w:rFonts w:ascii="仿宋_GB2312" w:hAnsi="宋体" w:eastAsia="仿宋_GB2312" w:cs="宋体"/>
          <w:sz w:val="32"/>
          <w:szCs w:val="32"/>
        </w:rPr>
      </w:pPr>
      <w:r>
        <w:rPr>
          <w:rFonts w:hint="eastAsia" w:ascii="仿宋_GB2312" w:hAnsi="宋体" w:eastAsia="仿宋_GB2312" w:cs="宋体"/>
          <w:sz w:val="32"/>
          <w:szCs w:val="32"/>
        </w:rPr>
        <w:t>坚持以多种形式广泛开展法治宣传、教育、培训工作，进一步增强广大财政干部法治财政意识，把依法行政、依法理财理念贯穿到财政工作的全过程，融入到财政行政行为和日常工作规范中。一是积极组织新招录人员参加执法证考试，同时组织原有执法证持有人员参加轮训，确保考核全部通过；二是在局系统内开展“财政干部大培训”，积极宣传普及宪法、民法典和涉及财政业务的法律法规。三是加强专管员对分管领域相关法规的学习，进一步提升财政干部依法行政能力，扎实推进依法理财。</w:t>
      </w:r>
    </w:p>
    <w:p>
      <w:pPr>
        <w:adjustRightInd w:val="0"/>
        <w:snapToGrid w:val="0"/>
        <w:spacing w:line="560" w:lineRule="exact"/>
        <w:ind w:firstLine="640" w:firstLineChars="200"/>
        <w:rPr>
          <w:rFonts w:ascii="楷体" w:hAnsi="楷体" w:eastAsia="楷体"/>
          <w:bCs/>
          <w:sz w:val="32"/>
          <w:szCs w:val="32"/>
        </w:rPr>
      </w:pPr>
      <w:r>
        <w:rPr>
          <w:rFonts w:hint="eastAsia" w:ascii="楷体" w:hAnsi="楷体" w:eastAsia="楷体"/>
          <w:bCs/>
          <w:sz w:val="32"/>
          <w:szCs w:val="32"/>
        </w:rPr>
        <w:t>（二）大力推进宣传教育</w:t>
      </w:r>
    </w:p>
    <w:p>
      <w:pPr>
        <w:adjustRightInd w:val="0"/>
        <w:snapToGrid w:val="0"/>
        <w:spacing w:line="560" w:lineRule="exact"/>
        <w:ind w:firstLine="420"/>
        <w:rPr>
          <w:rFonts w:hint="eastAsia" w:ascii="仿宋_GB2312" w:hAnsi="宋体" w:eastAsia="仿宋_GB2312" w:cs="宋体"/>
          <w:sz w:val="32"/>
          <w:szCs w:val="32"/>
        </w:rPr>
      </w:pPr>
      <w:r>
        <w:rPr>
          <w:rFonts w:hint="eastAsia" w:ascii="仿宋_GB2312" w:hAnsi="宋体" w:eastAsia="仿宋_GB2312" w:cs="宋体"/>
          <w:sz w:val="32"/>
          <w:szCs w:val="32"/>
        </w:rPr>
        <w:t>一是落实“谁执法谁普法”普法责任制。通过开展预算编制会议，对本区预算单位及乡镇的财政干部普及预算法，树立依法理财观念，强化预算约束；每年开展防范非法集资宣传活动，向群众普及维权知识，提高群众防范和识别非法集资能力，畅通群众合理合法维权途径。对本区国有企业财务人员进行企业会计准则培训，帮助我区企业做好新旧企业会计准则衔接工作，规范会计行为。二是领导干部起示范作用，带头学法用法。采用集中学习和个人自学相结合的方式，专题学习习近平总书记全面依法治国系列重要论述，将法治建设列入年度工作计划，强化财政干部法治思维。</w:t>
      </w:r>
    </w:p>
    <w:p>
      <w:pPr>
        <w:adjustRightInd w:val="0"/>
        <w:snapToGrid w:val="0"/>
        <w:spacing w:line="560" w:lineRule="exact"/>
        <w:ind w:firstLine="420"/>
        <w:rPr>
          <w:rFonts w:ascii="楷体" w:hAnsi="楷体" w:eastAsia="楷体"/>
          <w:bCs/>
          <w:sz w:val="32"/>
          <w:szCs w:val="32"/>
        </w:rPr>
      </w:pPr>
      <w:r>
        <w:rPr>
          <w:rFonts w:hint="eastAsia" w:ascii="楷体" w:hAnsi="楷体" w:eastAsia="楷体"/>
          <w:bCs/>
          <w:sz w:val="32"/>
          <w:szCs w:val="32"/>
        </w:rPr>
        <w:t>（三）加强资金监管，深化内部监督</w:t>
      </w:r>
    </w:p>
    <w:p>
      <w:pPr>
        <w:pStyle w:val="4"/>
        <w:widowControl/>
        <w:spacing w:before="0" w:beforeAutospacing="0" w:after="0" w:afterAutospacing="0" w:line="560" w:lineRule="exact"/>
        <w:ind w:firstLine="640" w:firstLineChars="200"/>
        <w:rPr>
          <w:rFonts w:ascii="仿宋_GB2312" w:hAnsi="宋体" w:eastAsia="仿宋_GB2312" w:cs="宋体"/>
          <w:sz w:val="32"/>
          <w:szCs w:val="32"/>
        </w:rPr>
      </w:pPr>
      <w:r>
        <w:rPr>
          <w:rFonts w:hint="eastAsia" w:ascii="仿宋_GB2312" w:hAnsi="宋体" w:eastAsia="仿宋_GB2312" w:cs="宋体"/>
          <w:kern w:val="2"/>
          <w:sz w:val="32"/>
          <w:szCs w:val="32"/>
          <w:lang w:eastAsia="zh-CN"/>
        </w:rPr>
        <w:t>一方面，</w:t>
      </w:r>
      <w:r>
        <w:rPr>
          <w:rFonts w:hint="eastAsia" w:ascii="仿宋_GB2312" w:hAnsi="宋体" w:eastAsia="仿宋_GB2312" w:cs="宋体"/>
          <w:kern w:val="2"/>
          <w:sz w:val="32"/>
          <w:szCs w:val="32"/>
        </w:rPr>
        <w:t>推进依法行政，落实“三项制度”，按照《会计法》《采购法》等相关法律法规和财政检查工作规程，我局开展会计监督检查和政府采购社会代理机构检查工作, 执法人员持证上岗，严格执行检查程序，规范检查行为。</w:t>
      </w:r>
      <w:r>
        <w:rPr>
          <w:rFonts w:hint="eastAsia" w:ascii="仿宋_GB2312" w:hAnsi="宋体" w:eastAsia="仿宋_GB2312" w:cs="宋体"/>
          <w:sz w:val="32"/>
          <w:szCs w:val="32"/>
          <w:lang w:eastAsia="zh-CN"/>
        </w:rPr>
        <w:t>另一方面</w:t>
      </w:r>
      <w:r>
        <w:rPr>
          <w:rFonts w:hint="eastAsia" w:ascii="仿宋_GB2312" w:hAnsi="宋体" w:eastAsia="仿宋_GB2312" w:cs="宋体"/>
          <w:sz w:val="32"/>
          <w:szCs w:val="32"/>
        </w:rPr>
        <w:t>，重预防、强管理是财政部门内部监督检查工作的根本。今年，我局重点从“三性”入手，即资金管理规范性、资金安全性、资金管理科学性，对各个科室履行财政管理工作职责的合法性、合规性和有效性，内部控制的健全性、合理性和有效性开展内部检查，对发现的问题，及时提出管理建议和逐一限期整改的要求，达到了“以查促管、以查促建”的预期目的，促进了业务科室的有效履职，加强了财政资金的运行管理，提高了财政自身的理财水平。</w:t>
      </w:r>
    </w:p>
    <w:p>
      <w:pPr>
        <w:widowControl/>
        <w:spacing w:line="560" w:lineRule="exact"/>
        <w:ind w:firstLine="600"/>
        <w:jc w:val="left"/>
        <w:rPr>
          <w:rFonts w:ascii="黑体" w:hAnsi="宋体" w:eastAsia="黑体" w:cs="宋体"/>
          <w:kern w:val="0"/>
          <w:sz w:val="32"/>
          <w:szCs w:val="32"/>
        </w:rPr>
      </w:pPr>
      <w:r>
        <w:rPr>
          <w:rFonts w:hint="eastAsia" w:ascii="黑体" w:hAnsi="宋体" w:eastAsia="黑体" w:cs="宋体"/>
          <w:kern w:val="0"/>
          <w:sz w:val="32"/>
          <w:szCs w:val="32"/>
        </w:rPr>
        <w:t>二、存在的问题和原因分析</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近年来，随着普法宣传教育的深化和财政行政执法责任制的有效推行，财政法制建设不断发展，财政工作的法治化水平和依法理财的能力日益提高。但随着财政改革和发展对财政法制建设和财政部门执法水平的要求越来越高，财政行政执法仍然存在着执法队伍素质有待提高，执法监督体过程不够科学等问题，集中反映了先进的法治理念、制度与落后的行政执法观念、体制的矛盾。</w:t>
      </w:r>
    </w:p>
    <w:p>
      <w:pPr>
        <w:widowControl/>
        <w:spacing w:line="560" w:lineRule="exact"/>
        <w:ind w:firstLine="600"/>
        <w:jc w:val="left"/>
        <w:rPr>
          <w:rFonts w:ascii="仿宋_GB2312" w:hAnsi="宋体" w:eastAsia="仿宋_GB2312" w:cs="宋体"/>
          <w:kern w:val="0"/>
          <w:sz w:val="32"/>
          <w:szCs w:val="32"/>
        </w:rPr>
      </w:pPr>
      <w:r>
        <w:rPr>
          <w:rFonts w:hint="eastAsia" w:ascii="黑体" w:hAnsi="宋体" w:eastAsia="黑体" w:cs="宋体"/>
          <w:kern w:val="0"/>
          <w:sz w:val="32"/>
          <w:szCs w:val="32"/>
        </w:rPr>
        <w:t>三、下一步改进措施</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要从根本上解决问题，必须大力培育依法理财理念，加快财政体制改革，特别是要将完善行政执法责任制、加强监督力度作为建设法治财政的重中之重抓紧抓好。</w:t>
      </w:r>
    </w:p>
    <w:p>
      <w:pPr>
        <w:widowControl/>
        <w:spacing w:line="560" w:lineRule="exact"/>
        <w:ind w:firstLine="600"/>
        <w:jc w:val="left"/>
        <w:rPr>
          <w:rFonts w:ascii="楷体_GB2312" w:hAnsi="宋体" w:eastAsia="楷体_GB2312" w:cs="宋体"/>
          <w:kern w:val="0"/>
          <w:sz w:val="32"/>
          <w:szCs w:val="32"/>
        </w:rPr>
      </w:pPr>
      <w:r>
        <w:rPr>
          <w:rFonts w:hint="eastAsia" w:ascii="楷体_GB2312" w:hAnsi="宋体" w:eastAsia="楷体_GB2312" w:cs="宋体"/>
          <w:kern w:val="0"/>
          <w:sz w:val="32"/>
          <w:szCs w:val="32"/>
        </w:rPr>
        <w:t>（一）认真开展普法宣传教育，积极培育财政执法人员的法治理念。</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一是大力加强教育培训。通过经常的、制度化的教育培训使各级执法人员特别是领导干部自觉依法办事、依法行政。</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二是继续加强法制宣传教育，进一步增强法治理念。通过广泛深入开展宣传教育活动，增强全体财政干部的法治理念，提高依法行政、依法理财的能力和水平，增强各级财政部门的依法行政观念，提高依法管理、服务社会的能力和水平。</w:t>
      </w:r>
    </w:p>
    <w:p>
      <w:pPr>
        <w:widowControl/>
        <w:spacing w:line="560" w:lineRule="exact"/>
        <w:ind w:firstLine="640"/>
        <w:rPr>
          <w:rFonts w:hint="eastAsia" w:ascii="仿宋_GB2312" w:hAnsi="宋体" w:eastAsia="仿宋_GB2312" w:cs="宋体"/>
          <w:kern w:val="0"/>
          <w:sz w:val="32"/>
          <w:szCs w:val="32"/>
          <w:lang w:eastAsia="zh-CN"/>
        </w:rPr>
      </w:pPr>
      <w:r>
        <w:rPr>
          <w:rFonts w:hint="eastAsia" w:ascii="仿宋_GB2312" w:hAnsi="宋体" w:eastAsia="仿宋_GB2312" w:cs="宋体"/>
          <w:kern w:val="0"/>
          <w:sz w:val="32"/>
          <w:szCs w:val="32"/>
        </w:rPr>
        <w:t>三是建立依法行政的激励机制。在用人、政绩考核等方面，把严格实施法律、履行法定职责、维护法制统一和政令畅通方面</w:t>
      </w:r>
      <w:r>
        <w:rPr>
          <w:rFonts w:hint="eastAsia" w:ascii="仿宋_GB2312" w:hAnsi="宋体" w:eastAsia="仿宋_GB2312" w:cs="宋体"/>
          <w:kern w:val="0"/>
          <w:sz w:val="32"/>
          <w:szCs w:val="32"/>
          <w:lang w:eastAsia="zh-CN"/>
        </w:rPr>
        <w:t>纳入考核。</w:t>
      </w:r>
    </w:p>
    <w:p>
      <w:pPr>
        <w:widowControl/>
        <w:spacing w:line="560" w:lineRule="exact"/>
        <w:ind w:firstLine="600"/>
        <w:jc w:val="left"/>
        <w:rPr>
          <w:rFonts w:ascii="楷体_GB2312" w:hAnsi="宋体" w:eastAsia="楷体_GB2312" w:cs="宋体"/>
          <w:kern w:val="0"/>
          <w:sz w:val="32"/>
          <w:szCs w:val="32"/>
        </w:rPr>
      </w:pPr>
      <w:r>
        <w:rPr>
          <w:rFonts w:hint="eastAsia" w:ascii="楷体_GB2312" w:hAnsi="宋体" w:eastAsia="楷体_GB2312" w:cs="宋体"/>
          <w:kern w:val="0"/>
          <w:sz w:val="32"/>
          <w:szCs w:val="32"/>
        </w:rPr>
        <w:t>（二）进一步加快财政体制改革。</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 xml:space="preserve">一是改进预算管理制度。要进一步规范预决算编制程序、方法和内容，增强预决算编制的科学性，提高预算分配的透明度，按照总体部署、分步推进的原则，做好预决算公开和“三公”经费预决算公开工作，完善财政资金绩效评价机制。 </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二是继续做好国库集中支付和本区公务卡改革工作。</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三是继续完善政府采购制度。进一步规范我区政府采购行为，加强政府采购的监督管理，提高政府采购资金的使用效益，提高政府采购工作效率。</w:t>
      </w:r>
    </w:p>
    <w:p>
      <w:pPr>
        <w:widowControl/>
        <w:spacing w:line="560" w:lineRule="exact"/>
        <w:ind w:firstLine="600"/>
        <w:jc w:val="left"/>
        <w:rPr>
          <w:rFonts w:ascii="楷体_GB2312" w:hAnsi="宋体" w:eastAsia="楷体_GB2312" w:cs="宋体"/>
          <w:kern w:val="0"/>
          <w:sz w:val="32"/>
          <w:szCs w:val="32"/>
        </w:rPr>
      </w:pPr>
      <w:r>
        <w:rPr>
          <w:rFonts w:hint="eastAsia" w:ascii="楷体_GB2312" w:hAnsi="宋体" w:eastAsia="楷体_GB2312" w:cs="宋体"/>
          <w:kern w:val="0"/>
          <w:sz w:val="32"/>
          <w:szCs w:val="32"/>
        </w:rPr>
        <w:t>（三）继续加大监督检查力度，进一步提高服务水平。</w:t>
      </w:r>
    </w:p>
    <w:p>
      <w:pPr>
        <w:widowControl/>
        <w:spacing w:line="560" w:lineRule="exact"/>
        <w:ind w:firstLine="640"/>
        <w:rPr>
          <w:rFonts w:ascii="仿宋_GB2312" w:hAnsi="宋体" w:eastAsia="仿宋_GB2312" w:cs="宋体"/>
          <w:kern w:val="0"/>
          <w:sz w:val="32"/>
          <w:szCs w:val="32"/>
        </w:rPr>
      </w:pPr>
      <w:r>
        <w:rPr>
          <w:rFonts w:hint="eastAsia" w:ascii="仿宋_GB2312" w:hAnsi="宋体" w:eastAsia="仿宋_GB2312" w:cs="宋体"/>
          <w:kern w:val="0"/>
          <w:sz w:val="32"/>
          <w:szCs w:val="32"/>
        </w:rPr>
        <w:t>围绕经济发展需要、财政改革和财政管理的中心工作，突出督查重点，改进督查方式，继续加大监督检查力度，整顿和规范财经秩序，认真组织开展惠民惠农政策落实、各项专项资金、会计信息质量等方面的督查工作，进一步提高行政服务水平。</w:t>
      </w:r>
    </w:p>
    <w:p>
      <w:pPr>
        <w:widowControl/>
        <w:spacing w:line="560" w:lineRule="exact"/>
        <w:ind w:firstLine="640"/>
        <w:rPr>
          <w:rFonts w:hint="eastAsia" w:ascii="仿宋_GB2312" w:hAnsi="宋体" w:eastAsia="仿宋_GB2312" w:cs="宋体"/>
          <w:kern w:val="0"/>
          <w:sz w:val="32"/>
          <w:szCs w:val="32"/>
        </w:rPr>
      </w:pPr>
      <w:r>
        <w:rPr>
          <w:rFonts w:hint="eastAsia" w:ascii="仿宋_GB2312" w:hAnsi="宋体" w:eastAsia="仿宋_GB2312" w:cs="宋体"/>
          <w:kern w:val="0"/>
          <w:sz w:val="32"/>
          <w:szCs w:val="32"/>
        </w:rPr>
        <w:t>202</w:t>
      </w:r>
      <w:r>
        <w:rPr>
          <w:rFonts w:hint="eastAsia" w:ascii="仿宋_GB2312" w:hAnsi="宋体" w:eastAsia="仿宋_GB2312" w:cs="宋体"/>
          <w:kern w:val="0"/>
          <w:sz w:val="32"/>
          <w:szCs w:val="32"/>
          <w:lang w:val="en-US" w:eastAsia="zh-CN"/>
        </w:rPr>
        <w:t>3</w:t>
      </w:r>
      <w:r>
        <w:rPr>
          <w:rFonts w:hint="eastAsia" w:ascii="仿宋_GB2312" w:hAnsi="宋体" w:eastAsia="仿宋_GB2312" w:cs="宋体"/>
          <w:kern w:val="0"/>
          <w:sz w:val="32"/>
          <w:szCs w:val="32"/>
        </w:rPr>
        <w:t>年，我局将在市财政局、区法制办的指导下，紧紧围绕财政中心工作，继续开拓创新、扎实工作，完善财政依法行政法制规章制度，深入开展法制财政学习、培训、宣传工作，不断提升财政干部队伍法治观念，推动财政干部职工用法治思维和法治方式看问题、思考问题、解决问题，努力开创财政部门依法行政工作新局面，为加快推进我区法治建设多做贡献。</w:t>
      </w:r>
    </w:p>
    <w:p>
      <w:pPr>
        <w:widowControl/>
        <w:spacing w:line="560" w:lineRule="exact"/>
        <w:ind w:firstLine="640"/>
        <w:jc w:val="right"/>
        <w:rPr>
          <w:rFonts w:hint="eastAsia" w:ascii="仿宋_GB2312" w:hAnsi="宋体" w:eastAsia="仿宋_GB2312" w:cs="宋体"/>
          <w:kern w:val="0"/>
          <w:sz w:val="32"/>
          <w:szCs w:val="32"/>
        </w:rPr>
      </w:pPr>
    </w:p>
    <w:p>
      <w:pPr>
        <w:widowControl/>
        <w:spacing w:line="560" w:lineRule="exact"/>
        <w:ind w:firstLine="640"/>
        <w:jc w:val="right"/>
        <w:rPr>
          <w:rFonts w:hint="eastAsia" w:ascii="仿宋_GB2312" w:hAnsi="宋体" w:eastAsia="仿宋_GB2312" w:cs="宋体"/>
          <w:kern w:val="0"/>
          <w:sz w:val="32"/>
          <w:szCs w:val="32"/>
        </w:rPr>
      </w:pPr>
    </w:p>
    <w:p>
      <w:pPr>
        <w:widowControl/>
        <w:wordWrap w:val="0"/>
        <w:spacing w:line="560" w:lineRule="exact"/>
        <w:ind w:firstLine="640"/>
        <w:jc w:val="right"/>
        <w:rPr>
          <w:rFonts w:hint="default" w:ascii="仿宋_GB2312" w:hAnsi="宋体" w:eastAsia="仿宋_GB2312" w:cs="宋体"/>
          <w:kern w:val="0"/>
          <w:sz w:val="32"/>
          <w:szCs w:val="32"/>
          <w:lang w:val="en-US" w:eastAsia="zh-CN"/>
        </w:rPr>
      </w:pPr>
      <w:r>
        <w:rPr>
          <w:rFonts w:hint="eastAsia" w:ascii="仿宋_GB2312" w:hAnsi="宋体" w:eastAsia="仿宋_GB2312" w:cs="宋体"/>
          <w:kern w:val="0"/>
          <w:sz w:val="32"/>
          <w:szCs w:val="32"/>
          <w:lang w:eastAsia="zh-CN"/>
        </w:rPr>
        <w:t>上海市</w:t>
      </w:r>
      <w:r>
        <w:rPr>
          <w:rFonts w:hint="eastAsia" w:ascii="仿宋_GB2312" w:hAnsi="宋体" w:eastAsia="仿宋_GB2312" w:cs="宋体"/>
          <w:kern w:val="0"/>
          <w:sz w:val="32"/>
          <w:szCs w:val="32"/>
        </w:rPr>
        <w:t xml:space="preserve">崇明区财政局  </w:t>
      </w:r>
      <w:r>
        <w:rPr>
          <w:rFonts w:hint="eastAsia" w:ascii="仿宋_GB2312" w:hAnsi="宋体" w:eastAsia="仿宋_GB2312" w:cs="宋体"/>
          <w:kern w:val="0"/>
          <w:sz w:val="32"/>
          <w:szCs w:val="32"/>
          <w:lang w:val="en-US" w:eastAsia="zh-CN"/>
        </w:rPr>
        <w:t xml:space="preserve">  </w:t>
      </w:r>
    </w:p>
    <w:p>
      <w:pPr>
        <w:widowControl/>
        <w:wordWrap w:val="0"/>
        <w:spacing w:line="560" w:lineRule="exact"/>
        <w:ind w:firstLine="640"/>
        <w:jc w:val="right"/>
        <w:rPr>
          <w:rFonts w:hint="default" w:ascii="仿宋_GB2312" w:hAnsi="宋体" w:eastAsia="仿宋_GB2312" w:cs="宋体"/>
          <w:kern w:val="0"/>
          <w:sz w:val="32"/>
          <w:szCs w:val="32"/>
          <w:lang w:val="en-US" w:eastAsia="zh-CN"/>
        </w:rPr>
      </w:pPr>
      <w:r>
        <w:rPr>
          <w:rFonts w:hint="eastAsia" w:ascii="仿宋_GB2312" w:hAnsi="宋体" w:eastAsia="仿宋_GB2312" w:cs="宋体"/>
          <w:kern w:val="0"/>
          <w:sz w:val="32"/>
          <w:szCs w:val="32"/>
        </w:rPr>
        <w:t xml:space="preserve">  202</w:t>
      </w:r>
      <w:r>
        <w:rPr>
          <w:rFonts w:hint="eastAsia" w:ascii="仿宋_GB2312" w:hAnsi="宋体" w:eastAsia="仿宋_GB2312" w:cs="宋体"/>
          <w:kern w:val="0"/>
          <w:sz w:val="32"/>
          <w:szCs w:val="32"/>
          <w:lang w:val="en-US" w:eastAsia="zh-CN"/>
        </w:rPr>
        <w:t>2</w:t>
      </w:r>
      <w:r>
        <w:rPr>
          <w:rFonts w:hint="eastAsia" w:ascii="仿宋_GB2312" w:hAnsi="宋体" w:eastAsia="仿宋_GB2312" w:cs="宋体"/>
          <w:kern w:val="0"/>
          <w:sz w:val="32"/>
          <w:szCs w:val="32"/>
        </w:rPr>
        <w:t>年</w:t>
      </w:r>
      <w:r>
        <w:rPr>
          <w:rFonts w:hint="eastAsia" w:ascii="仿宋_GB2312" w:hAnsi="宋体" w:eastAsia="仿宋_GB2312" w:cs="宋体"/>
          <w:kern w:val="0"/>
          <w:sz w:val="32"/>
          <w:szCs w:val="32"/>
          <w:lang w:val="en-US" w:eastAsia="zh-CN"/>
        </w:rPr>
        <w:t>12</w:t>
      </w:r>
      <w:r>
        <w:rPr>
          <w:rFonts w:hint="eastAsia" w:ascii="仿宋_GB2312" w:hAnsi="宋体" w:eastAsia="仿宋_GB2312" w:cs="宋体"/>
          <w:kern w:val="0"/>
          <w:sz w:val="32"/>
          <w:szCs w:val="32"/>
        </w:rPr>
        <w:t>月</w:t>
      </w:r>
      <w:r>
        <w:rPr>
          <w:rFonts w:hint="eastAsia" w:ascii="仿宋_GB2312" w:hAnsi="宋体" w:eastAsia="仿宋_GB2312" w:cs="宋体"/>
          <w:kern w:val="0"/>
          <w:sz w:val="32"/>
          <w:szCs w:val="32"/>
          <w:lang w:val="en-US" w:eastAsia="zh-CN"/>
        </w:rPr>
        <w:t>30</w:t>
      </w:r>
      <w:r>
        <w:rPr>
          <w:rFonts w:hint="eastAsia" w:ascii="仿宋_GB2312" w:hAnsi="宋体" w:eastAsia="仿宋_GB2312" w:cs="宋体"/>
          <w:kern w:val="0"/>
          <w:sz w:val="32"/>
          <w:szCs w:val="32"/>
        </w:rPr>
        <w:t>日</w:t>
      </w:r>
      <w:r>
        <w:rPr>
          <w:rFonts w:hint="eastAsia" w:ascii="仿宋_GB2312" w:hAnsi="宋体" w:eastAsia="仿宋_GB2312" w:cs="宋体"/>
          <w:kern w:val="0"/>
          <w:sz w:val="32"/>
          <w:szCs w:val="32"/>
          <w:lang w:val="en-US" w:eastAsia="zh-CN"/>
        </w:rPr>
        <w:t xml:space="preserve">    </w:t>
      </w:r>
    </w:p>
    <w:p>
      <w:pPr>
        <w:pStyle w:val="4"/>
        <w:widowControl/>
        <w:spacing w:before="0" w:beforeAutospacing="0" w:after="0" w:afterAutospacing="0" w:line="480" w:lineRule="auto"/>
        <w:ind w:firstLine="480" w:firstLineChars="200"/>
        <w:jc w:val="right"/>
      </w:pPr>
    </w:p>
    <w:sectPr>
      <w:footerReference r:id="rId3" w:type="default"/>
      <w:pgSz w:w="11906" w:h="16838"/>
      <w:pgMar w:top="2098" w:right="1474" w:bottom="1985" w:left="1588" w:header="851" w:footer="1418"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altName w:val="方正楷体_GBK"/>
    <w:panose1 w:val="00000000000000000000"/>
    <w:charset w:val="86"/>
    <w:family w:val="modern"/>
    <w:pitch w:val="default"/>
    <w:sig w:usb0="00000000" w:usb1="00000000" w:usb2="00000010" w:usb3="00000000" w:csb0="00040000" w:csb1="00000000"/>
  </w:font>
  <w:font w:name="楷体">
    <w:altName w:val="方正楷体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FgAAAGRycy9QSwECFAAUAAAA&#10;CACHTuJAs0lY7tAAAAAFAQAADwAAAAAAAAABACAAAAA4AAAAZHJzL2Rvd25yZXYueG1sUEsBAhQA&#10;FAAAAAgAh07iQHZIUkvIAgAA7AUAAA4AAAAAAAAAAQAgAAAANQEAAGRycy9lMm9Eb2MueG1sUEsF&#10;BgAAAAAGAAYAWQEAAG8GAAAAAA==&#10;">
              <v:fill on="f" focussize="0,0"/>
              <v:stroke on="f" weight="0.5pt"/>
              <v:imagedata o:title=""/>
              <o:lock v:ext="edit" aspectratio="f"/>
              <v:textbox inset="0mm,0mm,0mm,0mm" style="mso-fit-shape-to-text:t;">
                <w:txbxContent>
                  <w:p>
                    <w:pPr>
                      <w:pStyle w:val="2"/>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  \* MERGEFORMAT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1DF8"/>
    <w:rsid w:val="00001919"/>
    <w:rsid w:val="00003C80"/>
    <w:rsid w:val="00043FCC"/>
    <w:rsid w:val="00097223"/>
    <w:rsid w:val="00097AD0"/>
    <w:rsid w:val="000A0519"/>
    <w:rsid w:val="001157CF"/>
    <w:rsid w:val="001561C2"/>
    <w:rsid w:val="001B18C9"/>
    <w:rsid w:val="001B51CA"/>
    <w:rsid w:val="001B64C6"/>
    <w:rsid w:val="001D3735"/>
    <w:rsid w:val="001D3EE4"/>
    <w:rsid w:val="001D647A"/>
    <w:rsid w:val="00256EF9"/>
    <w:rsid w:val="002D38B4"/>
    <w:rsid w:val="00302C4E"/>
    <w:rsid w:val="003210D9"/>
    <w:rsid w:val="003344A3"/>
    <w:rsid w:val="0034105B"/>
    <w:rsid w:val="003500AF"/>
    <w:rsid w:val="00370115"/>
    <w:rsid w:val="00371A28"/>
    <w:rsid w:val="00371DF8"/>
    <w:rsid w:val="00381289"/>
    <w:rsid w:val="00382D3E"/>
    <w:rsid w:val="003950B1"/>
    <w:rsid w:val="003B238C"/>
    <w:rsid w:val="003C589A"/>
    <w:rsid w:val="003D258B"/>
    <w:rsid w:val="003E1DFD"/>
    <w:rsid w:val="003E2C6E"/>
    <w:rsid w:val="003E37D7"/>
    <w:rsid w:val="004044CE"/>
    <w:rsid w:val="004216A5"/>
    <w:rsid w:val="00424809"/>
    <w:rsid w:val="0043794D"/>
    <w:rsid w:val="00453A2D"/>
    <w:rsid w:val="004954D6"/>
    <w:rsid w:val="004C04CE"/>
    <w:rsid w:val="004C31B6"/>
    <w:rsid w:val="004D2B6E"/>
    <w:rsid w:val="00511D7C"/>
    <w:rsid w:val="005213DB"/>
    <w:rsid w:val="00547575"/>
    <w:rsid w:val="00551BC9"/>
    <w:rsid w:val="005573AB"/>
    <w:rsid w:val="0057303E"/>
    <w:rsid w:val="005764B0"/>
    <w:rsid w:val="005D1D4B"/>
    <w:rsid w:val="005D4A84"/>
    <w:rsid w:val="005F2479"/>
    <w:rsid w:val="005F3DA8"/>
    <w:rsid w:val="005F65C5"/>
    <w:rsid w:val="00603750"/>
    <w:rsid w:val="00633C92"/>
    <w:rsid w:val="00646020"/>
    <w:rsid w:val="00647046"/>
    <w:rsid w:val="006C0476"/>
    <w:rsid w:val="006D3D1E"/>
    <w:rsid w:val="0073076C"/>
    <w:rsid w:val="00734D43"/>
    <w:rsid w:val="007F563B"/>
    <w:rsid w:val="007F5FE9"/>
    <w:rsid w:val="00803A41"/>
    <w:rsid w:val="00806BCE"/>
    <w:rsid w:val="00830FBB"/>
    <w:rsid w:val="008529C1"/>
    <w:rsid w:val="00961F45"/>
    <w:rsid w:val="00992499"/>
    <w:rsid w:val="009D03D4"/>
    <w:rsid w:val="009D66FF"/>
    <w:rsid w:val="00A12667"/>
    <w:rsid w:val="00A14759"/>
    <w:rsid w:val="00A2031F"/>
    <w:rsid w:val="00A31C80"/>
    <w:rsid w:val="00A350A8"/>
    <w:rsid w:val="00A40756"/>
    <w:rsid w:val="00A431E3"/>
    <w:rsid w:val="00A807A4"/>
    <w:rsid w:val="00A84CC7"/>
    <w:rsid w:val="00AB36B8"/>
    <w:rsid w:val="00AC2ED0"/>
    <w:rsid w:val="00AE0B11"/>
    <w:rsid w:val="00AF2947"/>
    <w:rsid w:val="00B41F08"/>
    <w:rsid w:val="00B44D69"/>
    <w:rsid w:val="00B56AAE"/>
    <w:rsid w:val="00B958E1"/>
    <w:rsid w:val="00BD341C"/>
    <w:rsid w:val="00C03EBE"/>
    <w:rsid w:val="00C05D96"/>
    <w:rsid w:val="00C22D02"/>
    <w:rsid w:val="00C3637B"/>
    <w:rsid w:val="00C4140E"/>
    <w:rsid w:val="00C60804"/>
    <w:rsid w:val="00C91F46"/>
    <w:rsid w:val="00CB519F"/>
    <w:rsid w:val="00D1172E"/>
    <w:rsid w:val="00D26B11"/>
    <w:rsid w:val="00D51D83"/>
    <w:rsid w:val="00D5351E"/>
    <w:rsid w:val="00D60EB5"/>
    <w:rsid w:val="00D71ABF"/>
    <w:rsid w:val="00E0335A"/>
    <w:rsid w:val="00E269BC"/>
    <w:rsid w:val="00E4774A"/>
    <w:rsid w:val="00E85BC3"/>
    <w:rsid w:val="00EC3141"/>
    <w:rsid w:val="00EE7916"/>
    <w:rsid w:val="00F14A17"/>
    <w:rsid w:val="00F2309D"/>
    <w:rsid w:val="00F310B9"/>
    <w:rsid w:val="00F46BD2"/>
    <w:rsid w:val="00F51DC9"/>
    <w:rsid w:val="00F76B7C"/>
    <w:rsid w:val="00F776ED"/>
    <w:rsid w:val="00FB282B"/>
    <w:rsid w:val="00FC45BF"/>
    <w:rsid w:val="78EF6F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Normal (Web)"/>
    <w:basedOn w:val="1"/>
    <w:unhideWhenUsed/>
    <w:qFormat/>
    <w:uiPriority w:val="99"/>
    <w:pPr>
      <w:spacing w:before="100" w:beforeAutospacing="1" w:after="100" w:afterAutospacing="1"/>
      <w:jc w:val="left"/>
    </w:pPr>
    <w:rPr>
      <w:kern w:val="0"/>
      <w:sz w:val="24"/>
    </w:rPr>
  </w:style>
  <w:style w:type="character" w:customStyle="1" w:styleId="7">
    <w:name w:val="页眉 Char"/>
    <w:basedOn w:val="6"/>
    <w:link w:val="3"/>
    <w:qFormat/>
    <w:uiPriority w:val="99"/>
    <w:rPr>
      <w:sz w:val="18"/>
      <w:szCs w:val="18"/>
    </w:rPr>
  </w:style>
  <w:style w:type="character" w:customStyle="1" w:styleId="8">
    <w:name w:val="页脚 Char"/>
    <w:basedOn w:val="6"/>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Pages>
  <Words>348</Words>
  <Characters>1989</Characters>
  <Lines>16</Lines>
  <Paragraphs>4</Paragraphs>
  <TotalTime>47</TotalTime>
  <ScaleCrop>false</ScaleCrop>
  <LinksUpToDate>false</LinksUpToDate>
  <CharactersWithSpaces>2333</CharactersWithSpaces>
  <Application>WPS Office_11.8.2.9980_F1E327BC-269C-435d-A152-05C5408002CA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2020-10-23T02:13:00Z</dcterms:created>
  <dc:creator>ntko</dc:creator>
  <cp:lastModifiedBy>cmcz</cp:lastModifiedBy>
  <cp:lastPrinted>2023-02-28T11:08:59Z</cp:lastPrinted>
  <dcterms:modified xsi:type="dcterms:W3CDTF">2023-03-01T13:08:07Z</dcterms:modified>
  <cp:revision>108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2052-11.8.2.9980</vt:lpwstr>
  </property>
</Properties>
</file>