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240" w:line="560" w:lineRule="exact"/>
      </w:pPr>
      <w:bookmarkStart w:id="504" w:name="_GoBack"/>
      <w:bookmarkEnd w:id="504"/>
      <w:bookmarkStart w:id="0" w:name="_Toc2873"/>
      <w:bookmarkStart w:id="1" w:name="_Toc19255"/>
      <w:bookmarkStart w:id="2" w:name="_Toc18048"/>
      <w:bookmarkStart w:id="3" w:name="_Toc16085"/>
      <w:bookmarkStart w:id="4" w:name="_Toc19926"/>
      <w:bookmarkStart w:id="5" w:name="_Toc17419"/>
      <w:bookmarkStart w:id="6" w:name="_Toc22219"/>
      <w:r>
        <w:rPr>
          <w:rFonts w:hint="eastAsia"/>
        </w:rPr>
        <w:t>附录1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24680"/>
      <w:bookmarkStart w:id="8" w:name="_Toc24335"/>
      <w:bookmarkStart w:id="9" w:name="_Toc26633"/>
      <w:bookmarkStart w:id="10" w:name="_Toc28826"/>
      <w:bookmarkStart w:id="11" w:name="_Toc32268"/>
      <w:bookmarkStart w:id="12" w:name="_Toc26852"/>
      <w:bookmarkStart w:id="13" w:name="_Toc3030"/>
      <w:r>
        <w:rPr>
          <w:rFonts w:hint="eastAsia"/>
        </w:rPr>
        <w:t xml:space="preserve"> 2023年崇明区城市体检指标结果与评价总表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41"/>
        <w:tblW w:w="15610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578"/>
        <w:gridCol w:w="1130"/>
        <w:gridCol w:w="1050"/>
        <w:gridCol w:w="1038"/>
        <w:gridCol w:w="1218"/>
        <w:gridCol w:w="1218"/>
        <w:gridCol w:w="1258"/>
        <w:gridCol w:w="1340"/>
        <w:gridCol w:w="1504"/>
        <w:gridCol w:w="3218"/>
        <w:gridCol w:w="690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  <w:jc w:val="center"/>
        </w:trPr>
        <w:tc>
          <w:tcPr>
            <w:tcW w:w="401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  <w:lang w:eastAsia="zh-CN"/>
              </w:rPr>
            </w:pPr>
            <w:bookmarkStart w:id="14" w:name="_Toc30479"/>
            <w:bookmarkStart w:id="15" w:name="_Toc32222"/>
            <w:bookmarkStart w:id="16" w:name="_Toc9035"/>
            <w:bookmarkStart w:id="17" w:name="_Toc26707"/>
            <w:bookmarkStart w:id="18" w:name="_Toc29542"/>
            <w:bookmarkStart w:id="19" w:name="_Toc27663"/>
            <w:bookmarkStart w:id="20" w:name="_Toc22914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578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  <w:lang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号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130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21" w:name="_Toc1057"/>
            <w:bookmarkStart w:id="22" w:name="_Toc6994"/>
            <w:bookmarkStart w:id="23" w:name="_Toc29364"/>
            <w:bookmarkStart w:id="24" w:name="_Toc20734"/>
            <w:bookmarkStart w:id="25" w:name="_Toc9908"/>
            <w:bookmarkStart w:id="26" w:name="_Toc8823"/>
            <w:bookmarkStart w:id="27" w:name="_Toc31889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指标名称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050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28" w:name="_Toc29792"/>
            <w:bookmarkStart w:id="29" w:name="_Toc5982"/>
            <w:bookmarkStart w:id="30" w:name="_Toc28241"/>
            <w:bookmarkStart w:id="31" w:name="_Toc12738"/>
            <w:bookmarkStart w:id="32" w:name="_Toc17587"/>
            <w:bookmarkStart w:id="33" w:name="_Toc19953"/>
            <w:bookmarkStart w:id="34" w:name="_Toc26437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单位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038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35" w:name="_Toc10193"/>
            <w:bookmarkStart w:id="36" w:name="_Toc1727"/>
            <w:bookmarkStart w:id="37" w:name="_Toc31110"/>
            <w:bookmarkStart w:id="38" w:name="_Toc28069"/>
            <w:bookmarkStart w:id="39" w:name="_Toc16331"/>
            <w:bookmarkStart w:id="40" w:name="_Toc6035"/>
            <w:bookmarkStart w:id="41" w:name="_Toc27340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2018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1218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42" w:name="_Toc21972"/>
            <w:bookmarkStart w:id="43" w:name="_Toc28825"/>
            <w:bookmarkStart w:id="44" w:name="_Toc26477"/>
            <w:bookmarkStart w:id="45" w:name="_Toc10770"/>
            <w:bookmarkStart w:id="46" w:name="_Toc2070"/>
            <w:bookmarkStart w:id="47" w:name="_Toc20208"/>
            <w:bookmarkStart w:id="48" w:name="_Toc15279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2019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</w:tc>
        <w:tc>
          <w:tcPr>
            <w:tcW w:w="1218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49" w:name="_Toc1915"/>
            <w:bookmarkStart w:id="50" w:name="_Toc891"/>
            <w:bookmarkStart w:id="51" w:name="_Toc11007"/>
            <w:bookmarkStart w:id="52" w:name="_Toc23661"/>
            <w:bookmarkStart w:id="53" w:name="_Toc20722"/>
            <w:bookmarkStart w:id="54" w:name="_Toc21487"/>
            <w:bookmarkStart w:id="55" w:name="_Toc21886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2020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1258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56" w:name="_Toc24451"/>
            <w:bookmarkStart w:id="57" w:name="_Toc12871"/>
            <w:bookmarkStart w:id="58" w:name="_Toc9767"/>
            <w:bookmarkStart w:id="59" w:name="_Toc5005"/>
            <w:bookmarkStart w:id="60" w:name="_Toc22622"/>
            <w:bookmarkStart w:id="61" w:name="_Toc31089"/>
            <w:bookmarkStart w:id="62" w:name="_Toc14313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2021</w:t>
            </w:r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1340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63" w:name="_Toc17095"/>
            <w:bookmarkStart w:id="64" w:name="_Toc29543"/>
            <w:bookmarkStart w:id="65" w:name="_Toc8075"/>
            <w:bookmarkStart w:id="66" w:name="_Toc12232"/>
            <w:bookmarkStart w:id="67" w:name="_Toc6690"/>
            <w:bookmarkStart w:id="68" w:name="_Toc1437"/>
            <w:bookmarkStart w:id="69" w:name="_Toc20658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2022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1504" w:type="dxa"/>
            <w:shd w:val="clear" w:color="auto" w:fill="4E7055"/>
            <w:vAlign w:val="center"/>
          </w:tcPr>
          <w:p>
            <w:pPr>
              <w:spacing w:line="560" w:lineRule="exact"/>
              <w:ind w:firstLine="361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70" w:name="_Toc1237"/>
            <w:bookmarkStart w:id="71" w:name="_Toc28729"/>
            <w:bookmarkStart w:id="72" w:name="_Toc25174"/>
            <w:bookmarkStart w:id="73" w:name="_Toc25600"/>
            <w:bookmarkStart w:id="74" w:name="_Toc8499"/>
            <w:bookmarkStart w:id="75" w:name="_Toc31268"/>
            <w:bookmarkStart w:id="76" w:name="_Toc31477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参考值</w:t>
            </w:r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218" w:type="dxa"/>
            <w:shd w:val="clear" w:color="auto" w:fill="4E7055"/>
            <w:vAlign w:val="center"/>
          </w:tcPr>
          <w:p>
            <w:pPr>
              <w:spacing w:line="560" w:lineRule="exact"/>
              <w:ind w:firstLine="361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77" w:name="_Toc19876"/>
            <w:bookmarkStart w:id="78" w:name="_Toc14124"/>
            <w:bookmarkStart w:id="79" w:name="_Toc24532"/>
            <w:bookmarkStart w:id="80" w:name="_Toc26354"/>
            <w:bookmarkStart w:id="81" w:name="_Toc16669"/>
            <w:bookmarkStart w:id="82" w:name="_Toc25563"/>
            <w:bookmarkStart w:id="83" w:name="_Toc5383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参考值来源</w:t>
            </w:r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690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84" w:name="_Toc28530"/>
            <w:bookmarkStart w:id="85" w:name="_Toc6429"/>
            <w:bookmarkStart w:id="86" w:name="_Toc2089"/>
            <w:bookmarkStart w:id="87" w:name="_Toc1357"/>
            <w:bookmarkStart w:id="88" w:name="_Toc2777"/>
            <w:bookmarkStart w:id="89" w:name="_Toc2464"/>
            <w:bookmarkStart w:id="90" w:name="_Toc7357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指标评估</w:t>
            </w:r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</w:tc>
        <w:tc>
          <w:tcPr>
            <w:tcW w:w="967" w:type="dxa"/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</w:pPr>
            <w:bookmarkStart w:id="91" w:name="_Toc18170"/>
            <w:bookmarkStart w:id="92" w:name="_Toc31708"/>
            <w:bookmarkStart w:id="93" w:name="_Toc1592"/>
            <w:bookmarkStart w:id="94" w:name="_Toc26448"/>
            <w:bookmarkStart w:id="95" w:name="_Toc14454"/>
            <w:bookmarkStart w:id="96" w:name="_Toc13601"/>
            <w:bookmarkStart w:id="97" w:name="_Toc15202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18"/>
                <w:szCs w:val="18"/>
              </w:rPr>
              <w:t>填报单位</w:t>
            </w:r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vAlign w:val="center"/>
          </w:tcPr>
          <w:p>
            <w:pPr>
              <w:spacing w:line="560" w:lineRule="exact"/>
              <w:ind w:firstLine="562" w:firstLineChars="200"/>
              <w:outlineLvl w:val="1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bookmarkStart w:id="98" w:name="_Toc19134"/>
            <w:bookmarkStart w:id="99" w:name="_Toc23067"/>
            <w:bookmarkStart w:id="100" w:name="_Toc7551"/>
            <w:bookmarkStart w:id="101" w:name="_Toc8355"/>
            <w:bookmarkStart w:id="102" w:name="_Toc28855"/>
            <w:bookmarkStart w:id="103" w:name="_Toc26197"/>
            <w:bookmarkStart w:id="104" w:name="_Toc3120"/>
          </w:p>
        </w:tc>
        <w:tc>
          <w:tcPr>
            <w:tcW w:w="15209" w:type="dxa"/>
            <w:gridSpan w:val="12"/>
            <w:vAlign w:val="center"/>
          </w:tcPr>
          <w:p>
            <w:pPr>
              <w:spacing w:line="560" w:lineRule="exact"/>
              <w:ind w:firstLine="562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宜居共建</w:t>
            </w:r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社区养老服务设施覆盖率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民政部：90%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崇明区：每个服务圈内至少建有1家集多种养老服务功能于一体的社区综合为老服务中心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民政部《关于进一步扩大养老服务供给促进养老服务消费的实施意见》民发〔2019〕88号要求；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《崇明区老龄事业发展“十四五”规划》沪崇府办发〔2021〕28号；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“十四五”期间全区居家环境适老化改造工作完成率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1.06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3.46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5000户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《崇明区老龄事业发展“十四五”规划》沪崇府办发〔2021〕28号；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持续推进工作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普惠性幼儿园覆盖率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93.81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94.1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96.41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96.09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96.07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全市均值88.24%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全市目标值85%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《中共上海市委、上海市人民政府关于推进学前教育深化改革规范发展的实施意见》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社区市民健身中心街镇覆盖率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5.56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5.56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Hans" w:bidi="ar"/>
              </w:rPr>
              <w:t>上海市体育发展“十四五”规划》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Hans" w:bidi="ar"/>
              </w:rPr>
              <w:t>《上海市全民健身实施计划（2021—2025年）》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低于目标值，有待提升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城市二级及以上医院覆盖率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82.8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2022年住建部城市体检指标要求；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高于目标值，满足目标要求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区卫健委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第三方大数据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L-9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累计完成保障性租赁住房建设筹措数量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万套（间）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0.1（1006套）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十四五目标：4918套（间）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2022年目标：648户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《2022年保障性租赁住房目标任务完成情况和2023年目标任务》；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千人多功能运动场面积(包括篮球场、足球场、排球场、羽毛球场、网球场)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平方米/千人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303.68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140平方米/千人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《上海市“15分钟社区生活圈”行动工作导引》；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《十五分钟生活圈导则》；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区体育局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社区托育服务设施覆盖率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Hans" w:bidi="ar"/>
              </w:rPr>
              <w:t>以街镇为规划单元，开设社区“宝宝屋”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Hans" w:bidi="ar"/>
              </w:rPr>
              <w:t>关于加强本市社区托育服务工作的指导意见》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沪教委规〔2022〕10号；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《关于加强崇明区社区托育服务工作的实施方案》（沪崇教〔2023〕17号）；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全区内已建成幼儿园占地面积（数量）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290846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305076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294896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321143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333119.7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逐年趋势</w:t>
            </w:r>
          </w:p>
        </w:tc>
        <w:tc>
          <w:tcPr>
            <w:tcW w:w="32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逐年趋势</w:t>
            </w:r>
          </w:p>
        </w:tc>
        <w:tc>
          <w:tcPr>
            <w:tcW w:w="690" w:type="dxa"/>
            <w:vMerge w:val="restart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全区内已建成小学占地面积（数量）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557655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74659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574659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574091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596759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D6E3BC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全区内已建成初中占地面积（数量）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649700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585911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517308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535724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537142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D6E3BC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全区内已建成九年一贯制学校占地面积（数量）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288746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305256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304226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278968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278968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D6E3BC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全区内已建成高中占地面积（数量）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415549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438646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438646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420098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419245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D6E3BC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养老机构床位总量占户籍老年人口比例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十四五目标：10105张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2025年目标：2%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《崇明区老龄事业发展“十四五”规划》；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《崇明区国民经济和社会发展第十四个五年规划和二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三五年远景目标纲要》；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区民政局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十万人拥有的社区卫生服务设施数量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个/10万人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5.23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5.25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5.21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5.31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5.41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逐年趋势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逐年趋势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区卫健委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社区便民商业服务设施覆盖率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长兴镇（100%）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城桥镇（100%）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陈家镇（100%）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上海市十四五规划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区经委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社区卫生服务中心门诊分担率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61.53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61.13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60.12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53.11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51.1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≥30%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2022年城市体检指标要求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高于预定目标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签约居民门急诊人次占比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上海现状值：53.4%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上海现状值：53.4%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低于预定目标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spacing w:line="560" w:lineRule="exact"/>
              <w:ind w:firstLine="562" w:firstLineChars="200"/>
              <w:outlineLvl w:val="1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bookmarkStart w:id="105" w:name="_Toc128"/>
            <w:bookmarkStart w:id="106" w:name="_Toc27516"/>
            <w:bookmarkStart w:id="107" w:name="_Toc1143"/>
            <w:bookmarkStart w:id="108" w:name="_Toc19770"/>
            <w:bookmarkStart w:id="109" w:name="_Toc19256"/>
            <w:bookmarkStart w:id="110" w:name="_Toc29960"/>
            <w:bookmarkStart w:id="111" w:name="_Toc9896"/>
          </w:p>
        </w:tc>
        <w:tc>
          <w:tcPr>
            <w:tcW w:w="15209" w:type="dxa"/>
            <w:gridSpan w:val="12"/>
            <w:shd w:val="clear" w:color="auto" w:fill="auto"/>
            <w:vAlign w:val="center"/>
          </w:tcPr>
          <w:p>
            <w:pPr>
              <w:spacing w:line="560" w:lineRule="exact"/>
              <w:ind w:firstLine="562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安全韧性</w:t>
            </w:r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城区消防站服务半径覆盖率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20.79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≥75%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2022年住建部城市体检指标要求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低于目标值，有待提升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城市市政消火栓完好率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98.2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2022年住建部城市体检指标要求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区水务局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高层建筑消防设施完好率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无严重故障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无严重故障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区消防救援支队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年度火灾十万人死亡率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人/十万人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0.31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全国平均值：0.62人/十万人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全国死因监测系统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低于目标值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区消防救援支队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人均避难场所有效避难面积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平方米/人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0.59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＞1.5平方米/人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《上海市应急管理“十四五”规划》；</w:t>
            </w:r>
          </w:p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低于目标值，逐年上升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区应急局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完成抽查的排水管网平均合格率（主管）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89.70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86.07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77.52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73.50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86.18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全市平均值：87.69%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《上海市水务局关于2022年度本市排水管网维护监管工作情况的通报》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高于全市平均值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完成抽查的排水管网平均合格率（支管）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93.30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85.83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87.04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76.17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94.66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全市平均值：79.27%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《上海市水务局关于2022年度本市排水管网维护监管工作情况的通报》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高于全市平均值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L-19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管道天然气居民用户燃具专用金属连接软管替换完成率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2022年未开展该项工作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2022年未开展该项工作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L-24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存在Ⅰ类风险的老旧电梯隐患整改率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《在用电梯安全评估技术规范》（DB31/T885-2015）；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《电梯、自动扶梯和自动人行道风险评价和降低的方法》（GB/T20900-2007）</w:t>
            </w:r>
          </w:p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V-10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存在使用安全隐患的住宅数量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幢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V-11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有高坠隐患的住宅小区数量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及时发现及时整改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《上海市房屋高空坠物安全隐患排查整治三年行动计划（2023-2025）》；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《关于开展全市建筑物外墙墙面及附属构件、附着物高空坠物隐患专项排查工作的通知》（沪建房管联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2021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185号）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及时发现及时整改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V-12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美丽楼道创建率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100（陈家镇）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V-13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存在管线管道破损的住宅数量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栋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存量违建整治数量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处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25827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4914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3290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4633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逐年减少</w:t>
            </w:r>
          </w:p>
        </w:tc>
        <w:tc>
          <w:tcPr>
            <w:tcW w:w="32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积极推进工作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区城管执法局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存量违建整治数量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246.76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113.28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10.55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49.66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40.06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C-9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社区微型消防站建设覆盖率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86.83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88.23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90.19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90.47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《上海市消防事业发展“十四五”规划》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基本达到3—5年一遇排水能力覆盖区域面积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平方公里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8.2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25（占建成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区19.3%）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25.78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城镇污水处理率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90.89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92.95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95.69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96.6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97.8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农村生活污水处理率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70%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98%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建成区污水管网覆盖率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全区河湖水面率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10.13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10.35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10.52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崇明片区，逐年上升，指标状态良好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基本医疗保险覆盖率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86.80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85.26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84.58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87.49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88.38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209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品质更新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L-25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旧住房更新改造面积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4.46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36.8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91.47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L-26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中心城区零星二级旧里以下房屋改造完成率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不涉及指标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L-27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小梁薄板住房改造项目完成面积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2022年未开展该项工作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2022年未开展该项工作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L-28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“城中村”改造受益村（居）民累计数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户（产）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（集体土地上房屋签约数）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（集体土地上房屋签约数）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L-29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既有多层住宅电梯加装率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既有多层住宅加装电梯完成数量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美丽街区建设覆盖率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10.7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11.1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11.6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上升趋势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区绿化市容局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桥下空间品质提升项目数量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不涉及指标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当年老旧燃气管网改造完成量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不涉及指标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完成市级及以上“一刻钟便民生活圈”项目数量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1个（城桥镇）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各区选取试点自行上报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满足市级创建要求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满足市级要求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区经委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产业空间盘活再利用用地面积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万亩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0.0158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0.0794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0.0065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0.0552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0.0155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区经委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V-14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城镇居民住宅成套率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99.79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99.79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99.79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99.8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99.8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上升趋势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市级及以上示范村数量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积极推进市级下达的工作任务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《上海市城市管理精细化“十四五”规划》沪府办发〔2021〕20号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绿色食品认证率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71.00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91.77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92.21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92.87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入选中国农业绿色发展报告十大范例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入选中国农业绿色发展报告十大范例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安装太阳能光伏系统的屋顶面积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44.4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积极推进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209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绿色低碳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L-39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绿色建筑运行阶段标识面积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无数据，不作评价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L-41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新建超低能耗建筑面积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68968.34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各区每年应至少落实一至两个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《关于推进本市超低能耗建筑发展的实施意见》沪建建材联〔2020〕541号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未开展，有待提升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L-43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按照绿色生态城区标准建设的区域面积（数量）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平方公里（个）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2.72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各区、特定地区管委会至少创建一个绿色生态城区。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《关于推进本市绿色生态城区建设的指导意见》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D6E3BC"/>
                <w:lang w:bidi="ar"/>
              </w:rPr>
              <w:t>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L-45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公园绿化活动场地服务半径覆盖率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92.5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不低于90%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《国家生态园林城市》评奖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采用大数据估算，高于目标值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区绿化市容局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第三方大数据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L-46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人均公园绿地面积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平方米/人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6.06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7.74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8.33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9.78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10.59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5.5平方米/人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《国家生态园林城市》评奖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高于目标值，逐年上升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区绿化市容局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L-47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绿道服务半径覆盖率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52.7（30.331公里）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历年绿道建设数据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区绿化市容局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区规划资源局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L-55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地表水达到或好于Ⅲ类水体比例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96.2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不低于85%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2022年住建部城市体检指标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高于目标值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V-16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既有住宅实施节能改造的建筑面积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既有居住建筑节能改造占比每年应不低于10%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2022年住建部城市体检指标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V-17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生活垃圾分类达标率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95.24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95.46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95.9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95%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《上海市生活垃圾管理条例》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区绿化市容局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城市功能区声环境质量监测点次达标率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100(昼)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91.7(夜)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91.7(昼)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100(夜)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83.3(昼)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66.7(夜)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100(昼)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66.7(夜)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83.3(昼)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83.3(夜)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C-19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骨干（区管）河道整治率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26.40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27.71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28.23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31.27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31.46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≥52％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《崇明区水务“十四五”规划》沪崇府办发〔2021〕21号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低于目标值，呈上升趋势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可再生能源装机量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万千瓦时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36.58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37.7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49.19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57.4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59.3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呈上升趋势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生活垃圾资源回收率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19.08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30.91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38.20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41.76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42.15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45%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逐年上升，预计2025年可达到目标值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区绿化市容局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城区居民小区生活垃圾分类覆盖率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《崇明区“无废城市”建设实施方案》沪崇府发〔2022〕63号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区绿化市容局</w:t>
            </w:r>
          </w:p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农作物秸秆综合利用率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95.00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97.22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97.47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98.07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98.28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98%以上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高于目标值，指标状态良好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森林覆盖率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26.04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27.37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30.05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30.55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30.62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预计2025可以达到目标值，指标状态良好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区绿化市容局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绿色建筑占新建民用建筑的比例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新开工装配式建筑占新建民用建筑的比例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91.25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61.91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70.46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68.80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88.70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《绿色生态城区评价标准》GB/T51255-2017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崇明区每年新开工民用建筑，采用装配式建筑占比较高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S-8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新开工超低能耗建筑比例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0.065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低于目标值，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S-9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既有公共建筑节能改造达到15%以上节能率的建筑面积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2.356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2030年目标值：70万平方米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根据平均每年需进行节能改造0.8万平方米，预计截至2030年，可满足目标值要求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S-10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建筑垃圾资源化利用率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碳中和目标：推进工作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无废城市目标到2025年：95%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《崇明区“无废城市”建设实施方案》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崇明区满足碳中和实施，指标状态良好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区绿化市容局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S-11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可再生能源发电量占全社会用电量比重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29.39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25.36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25.38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30.06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31.01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历年数据纵向分析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呈上升趋势，指标状态良好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209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交通便捷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L-56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公交站点500米覆盖率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80.5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84%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《关于上海市建成区公交站点500米覆盖率达标情况的报告》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低于目标值，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L-62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专用非机动车道密度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公里/公里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不作评价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L-63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每千人新增两轮电动自行车数量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辆/千人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99.66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61.85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44.79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118.89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66.58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工作逐年推进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工作逐年推进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L-66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当年完成人行道整治面积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万平方米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15281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41527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L-67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当年完成“道路+”示范项目数量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L-70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停车难综合治理项目任务完成数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停车治理先行项目完成1个；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新建公共停车泊位项目完成126个；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推进停车共享项目7个；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编制《崇明区公共停车设施建设规划》。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停车治理先行项目完成1个；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新建公共停车泊位项目完成206个；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推进错峰共享停车项目完成2个；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医院停车预约项目完成1个；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智慧道路停车场项目完成1个。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完成市级下达的指标任务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完成市级下达的指标任务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完成市级下达的指标任务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V-21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新建小区未达到1车位/户的小区占比（数量）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满足建设标准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《城区停车规划规范》；《完整居住社区建设标准(试行)》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满足建设标准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V-22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共享充电桩示范小区创建总数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不涉及指标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纳入全市公共停车信息化平台的停车场数量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新能源和清洁能源公交车比例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99.69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历年数据纵向分析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呈上升趋势，指标状态良好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S-12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当年新建公共、专用充电桩数量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2025年目标值：500根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《崇明世界级生态岛碳中和示范区建设实施方案（2022年版）》沪崇府发〔2022〕51号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D6E3BC"/>
                <w:lang w:bidi="ar"/>
              </w:rPr>
              <w:t>以每年新增加100根为最低标准，到2025年预计可以达到标准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209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多元共享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L-77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不可移动文物空置率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15.89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15.89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15.89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15.89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15.89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历史建筑空置率≤10%</w:t>
            </w:r>
          </w:p>
        </w:tc>
        <w:tc>
          <w:tcPr>
            <w:tcW w:w="321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2022年住建部城市体检指标要求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高于目标值，指标有待提升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区文化旅游局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L-77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优秀历史建筑空置率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高于目标值，指标有待提升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L-80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城市人口年龄中位数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岁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全国38.5岁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日本48.7岁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美国37.9岁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UnitedNations《WorldPopulationProspects2022》数据统计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与全国，日本，美国相比均表现较差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道路无障碍设施建设率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《无障碍环境建设“十四五”实施方案》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满足目标要求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每10万人拥有文化设施数量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个/十万人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积极推进工作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积极推进工作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乡镇及社区举办活动数量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次（场）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1911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积极推进工作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积极推进工作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区文化旅游局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209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精细共治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L-83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实施专业化物业服务的小区占比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98.63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98.63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98.65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98.69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98.79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≥70%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城市体检指标要求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满足目标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D6E3BC"/>
                <w:lang w:bidi="ar"/>
              </w:rPr>
              <w:t>值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区住房保障房屋管理局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L-84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完成架空线入地的道路长度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7.08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总长度30.66公里，截止到2022年底，仅完成28.08公里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《关于调整2021年崇明区架空线入地和杆箱整治计划的请示》</w:t>
            </w:r>
          </w:p>
        </w:tc>
        <w:tc>
          <w:tcPr>
            <w:tcW w:w="690" w:type="dxa"/>
            <w:shd w:val="clear" w:color="auto" w:fill="FFE599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未达到标准，有待提升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L-85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沿街商户市容环境卫生责任区履责率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区绿化市容局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V-25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车辆停放有序性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97.98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《城市市容市貌干净整洁有序安全标准（试行）》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区公安分局</w:t>
            </w:r>
          </w:p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209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智慧高效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V-30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安全型智能燃气表覆盖率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10.3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19.7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25.2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29.9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31.3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十四五目标：60%</w:t>
            </w:r>
          </w:p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上海市平均值2.76%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《“十四五”新城环境品质和新基建专项方案》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低于目标值，呈上升趋势，高于市级平均值，指标状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shd w:val="clear" w:color="auto" w:fill="D6E3BC"/>
              </w:rPr>
              <w:t>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V-31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数字社区创建率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未开展工作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C-26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全社会R&amp;D支出占GDP比重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1.8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1.68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历史数据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历年数据纵向对比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相较于上一年提升1.38个百分点，指标状态良好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S-13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符合相关条件的建筑工程中应用BIM技术的项目占比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28.21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66.67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94.87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77.27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89.47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积极推进工作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《崇明世界级生态岛碳中和示范区建设实施方案（2022年版）》沪崇府发〔2022〕51号</w:t>
            </w:r>
          </w:p>
        </w:tc>
        <w:tc>
          <w:tcPr>
            <w:tcW w:w="690" w:type="dxa"/>
            <w:shd w:val="clear" w:color="auto" w:fill="D6E3BC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指标状态良好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区建设管理委</w:t>
            </w:r>
          </w:p>
        </w:tc>
      </w:tr>
    </w:tbl>
    <w:p>
      <w:pPr>
        <w:pStyle w:val="4"/>
        <w:spacing w:after="240" w:line="560" w:lineRule="exact"/>
        <w:ind w:left="0" w:leftChars="0" w:firstLine="0" w:firstLineChars="0"/>
        <w:rPr>
          <w:rFonts w:hint="eastAsia"/>
        </w:rPr>
      </w:pPr>
      <w:bookmarkStart w:id="112" w:name="_Toc14416"/>
      <w:bookmarkStart w:id="113" w:name="_Toc12014"/>
      <w:bookmarkStart w:id="114" w:name="_Toc4826"/>
      <w:bookmarkStart w:id="115" w:name="_Toc23407"/>
      <w:bookmarkStart w:id="116" w:name="_Toc7652"/>
      <w:bookmarkStart w:id="117" w:name="_Toc6335"/>
    </w:p>
    <w:p>
      <w:pPr>
        <w:pStyle w:val="4"/>
        <w:spacing w:after="240" w:line="560" w:lineRule="exact"/>
        <w:rPr>
          <w:rFonts w:hint="eastAsia"/>
        </w:rPr>
      </w:pPr>
    </w:p>
    <w:p>
      <w:pPr>
        <w:pStyle w:val="4"/>
        <w:spacing w:after="240" w:line="560" w:lineRule="exact"/>
      </w:pPr>
      <w:r>
        <w:rPr>
          <w:rFonts w:hint="eastAsia"/>
        </w:rPr>
        <w:t>附录2</w:t>
      </w:r>
      <w:bookmarkEnd w:id="112"/>
      <w:bookmarkEnd w:id="113"/>
      <w:bookmarkEnd w:id="114"/>
      <w:bookmarkEnd w:id="115"/>
      <w:bookmarkEnd w:id="116"/>
      <w:bookmarkEnd w:id="117"/>
      <w:bookmarkStart w:id="118" w:name="_Toc17592"/>
      <w:bookmarkStart w:id="119" w:name="_Toc10549"/>
      <w:bookmarkStart w:id="120" w:name="_Toc7370"/>
      <w:bookmarkStart w:id="121" w:name="_Toc9831"/>
      <w:bookmarkStart w:id="122" w:name="_Toc122"/>
      <w:bookmarkStart w:id="123" w:name="_Toc26501"/>
      <w:r>
        <w:rPr>
          <w:rFonts w:hint="eastAsia"/>
        </w:rPr>
        <w:t xml:space="preserve"> 2023年崇明区城市体检优势清单</w:t>
      </w:r>
      <w:bookmarkEnd w:id="118"/>
      <w:bookmarkEnd w:id="119"/>
      <w:bookmarkEnd w:id="120"/>
      <w:bookmarkEnd w:id="121"/>
      <w:bookmarkEnd w:id="122"/>
      <w:bookmarkEnd w:id="123"/>
    </w:p>
    <w:tbl>
      <w:tblPr>
        <w:tblStyle w:val="40"/>
        <w:tblW w:w="1538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09"/>
        <w:gridCol w:w="12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</w:pPr>
            <w:bookmarkStart w:id="124" w:name="_Toc10681"/>
            <w:bookmarkStart w:id="125" w:name="_Toc4128"/>
            <w:bookmarkStart w:id="126" w:name="_Toc519"/>
            <w:bookmarkStart w:id="127" w:name="_Toc23029"/>
            <w:bookmarkStart w:id="128" w:name="_Toc30879"/>
            <w:bookmarkStart w:id="129" w:name="_Toc24790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  <w:t>序号</w:t>
            </w:r>
            <w:bookmarkEnd w:id="124"/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spacing w:line="560" w:lineRule="exact"/>
              <w:ind w:firstLine="361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</w:pPr>
            <w:bookmarkStart w:id="130" w:name="_Toc19804"/>
            <w:bookmarkStart w:id="131" w:name="_Toc21957"/>
            <w:bookmarkStart w:id="132" w:name="_Toc23675"/>
            <w:bookmarkStart w:id="133" w:name="_Toc10491"/>
            <w:bookmarkStart w:id="134" w:name="_Toc25473"/>
            <w:bookmarkStart w:id="135" w:name="_Toc30175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  <w:t>优势方向</w:t>
            </w:r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spacing w:line="560" w:lineRule="exact"/>
              <w:ind w:firstLine="361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</w:pPr>
            <w:bookmarkStart w:id="136" w:name="_Toc9229"/>
            <w:bookmarkStart w:id="137" w:name="_Toc13878"/>
            <w:bookmarkStart w:id="138" w:name="_Toc24495"/>
            <w:bookmarkStart w:id="139" w:name="_Toc16706"/>
            <w:bookmarkStart w:id="140" w:name="_Toc9835"/>
            <w:bookmarkStart w:id="141" w:name="_Toc24292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  <w:t>城区优势相关项目或指标</w:t>
            </w:r>
            <w:bookmarkEnd w:id="136"/>
            <w:bookmarkEnd w:id="137"/>
            <w:bookmarkEnd w:id="138"/>
            <w:bookmarkEnd w:id="139"/>
            <w:bookmarkEnd w:id="140"/>
            <w:bookmarkEnd w:id="14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持续加强养老服务设施和养老床位建设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持续加强养老服务设施和养老床位建设，崇明区已累计培育411个示范睦邻点，实现了村级全覆盖。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新增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家社区老年助餐服务场所，崇明区新增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家社区综合为老服务中心（分中心）。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实施居家环境适老化改造工程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全年为120户老年人家庭根据老年人改造需求和房屋类型特点提供基础、专项、个性化等不同的改造方案。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改建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张认知障碍照护床位，养老机构床位总量占户籍老年人口比例3.17%。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优化医疗资源配置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社区卫生服务中心门诊分担率达51.1%，社区卫生服务中心与辖区内养老机构、社区托养机构签约服务实现全覆盖。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持续稳步推进廉租住房常态化申请供应工作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全年完成新增1105套保障性租赁住房纳管认定工作，新增对外供应公共租赁住房房源148套。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开展托幼一体化建设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新增向化幼儿园普惠性托育点，全区16个乡镇的34所幼儿园开设45个托班，提供900个托额，其中公办园所提供840个托额，完成普惠性托育点乡镇覆盖率89%、公办园开设托班比例85%的目标。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消防安全持续发力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2022年崇明区城市市政消火栓完好率达到100%，高层建筑消防设施完好率达到100%，社区微型消防站建设覆盖率100%，年度火灾十万人死亡率低于全市平均值0.62人/十万人。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污水收集处理能力显著提升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建成区污水管网覆盖率100%，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农村生活污水处理率100%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。公共供水管网漏损得到有效治理，完成抽查的主管排水管网平均合格率86.18%，支管排水管网平均合格率94.66%，均高于全市平均值。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全区应急避难场所建设成效显著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崇明区已建成等级应急避难场所16个，有效避难面积24.1万平方米；社区应急避难场所81个，有效避难面积44.5万平方米，人均避难场所有效避难面积1.09平方米/人。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多举措扎紧新增违建管控“篱笆”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农村经营性自建房约14022栋，城镇经营性自建房共503栋。初步判定存在安全隐患房屋共计1130栋，均已落实管控措施和整治措施“一房一方案”。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排查有高坠隐患的住宅小区、存在Ⅰ类风险的老旧电梯隐患，做到了即知即改。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住房更新规模逐步扩大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实施城桥镇明珠花苑综合整治工程，结合低碳推进老旧小区改造。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实现城镇居民住宅成套率99.8%。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推进乡村振兴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2022年港沿镇合兴村、建设镇富安村、新河镇井亭村、庙镇镇东村、陈家镇瀛东村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成功创建第四批市级乡村振兴示范村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，市级及以上示范村数量5个。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加强绿色优质农产品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绿色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优质认证面积36.05万亩，有25家45个产品新取得绿色认证、6家8个产品新取得有机认证、57家100个产品的绿色食品认证得到续展。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新建改建节能建筑加速建设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在施工许可环节落实绿建二星级项目5个，建筑面积约12.7万平方米，二星级及以上占比100%。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推进绿色建筑、全装修住宅、装配式建筑发展。新建住宅全装修、新建商品房装配式建筑均为100%。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560" w:lineRule="exact"/>
              <w:ind w:firstLine="3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全力推进可再生能源用电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可再生能源发电量占全社会用电量比重31.01%，相较于上一年提升了0.95个百分点。全区可再生能源装机量59.3万千瓦时，作为世界级生态岛的崇明，更是提出，要率先在全市范围内打造成为“碳中和”示范区。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42" w:name="_Toc25573"/>
            <w:bookmarkEnd w:id="142"/>
            <w:bookmarkStart w:id="143" w:name="_Toc6778"/>
            <w:bookmarkEnd w:id="143"/>
            <w:bookmarkStart w:id="144" w:name="_Toc30069"/>
            <w:bookmarkEnd w:id="144"/>
            <w:bookmarkStart w:id="145" w:name="_Toc5785"/>
            <w:bookmarkEnd w:id="145"/>
            <w:bookmarkStart w:id="146" w:name="_Toc19958"/>
            <w:bookmarkEnd w:id="146"/>
            <w:bookmarkStart w:id="147" w:name="_Toc5876"/>
            <w:bookmarkEnd w:id="147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积极推进绿色生态城区建设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崇明区按照绿色生态城区标准建设的区域总面积446.24平方公里。东崇明区东平小镇、城桥镇东区单元均获得绿色生态区二星级创建试点称号，《陈家镇国际生态社区绿色生态城区专业规划》也已进入评审阶段。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48" w:name="_Toc31387"/>
            <w:bookmarkEnd w:id="148"/>
            <w:bookmarkStart w:id="149" w:name="_Toc15133"/>
            <w:bookmarkEnd w:id="149"/>
            <w:bookmarkStart w:id="150" w:name="_Toc7488"/>
            <w:bookmarkEnd w:id="150"/>
            <w:bookmarkStart w:id="151" w:name="_Toc23265"/>
            <w:bookmarkEnd w:id="151"/>
            <w:bookmarkStart w:id="152" w:name="_Toc27674"/>
            <w:bookmarkEnd w:id="152"/>
            <w:bookmarkStart w:id="153" w:name="_Toc7965"/>
            <w:bookmarkEnd w:id="153"/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废弃资源收集利用率显著提高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生活垃圾分类达标率95.9%，全市第一，生活垃圾资源回收率42.15%。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54" w:name="_Toc8909"/>
            <w:bookmarkEnd w:id="154"/>
            <w:bookmarkStart w:id="155" w:name="_Toc20892"/>
            <w:bookmarkEnd w:id="155"/>
            <w:bookmarkStart w:id="156" w:name="_Toc27371"/>
            <w:bookmarkEnd w:id="156"/>
            <w:bookmarkStart w:id="157" w:name="_Toc10603"/>
            <w:bookmarkEnd w:id="157"/>
            <w:bookmarkStart w:id="158" w:name="_Toc31083"/>
            <w:bookmarkEnd w:id="158"/>
            <w:bookmarkStart w:id="159" w:name="_Toc15974"/>
            <w:bookmarkEnd w:id="159"/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五年内保持城区居民小区生活垃圾分类覆盖率100%，秸秆收储体系覆盖率保持100%，秸秆综合利用率达98%以上，提前满足2025年的目标值98%以上。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60" w:name="_Toc21955"/>
            <w:bookmarkEnd w:id="160"/>
            <w:bookmarkStart w:id="161" w:name="_Toc10496"/>
            <w:bookmarkEnd w:id="161"/>
            <w:bookmarkStart w:id="162" w:name="_Toc28756"/>
            <w:bookmarkEnd w:id="162"/>
            <w:bookmarkStart w:id="163" w:name="_Toc20215"/>
            <w:bookmarkEnd w:id="163"/>
            <w:bookmarkStart w:id="164" w:name="_Toc4824"/>
            <w:bookmarkEnd w:id="164"/>
            <w:bookmarkStart w:id="165" w:name="_Toc30256"/>
            <w:bookmarkEnd w:id="165"/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生态环境质量持续改善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全区27个考核断面（5个国控断面，22个市控断面）达标率100%，与上年相比持平。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66" w:name="_Toc9358"/>
            <w:bookmarkEnd w:id="166"/>
            <w:bookmarkStart w:id="167" w:name="_Toc13531"/>
            <w:bookmarkEnd w:id="167"/>
            <w:bookmarkStart w:id="168" w:name="_Toc14325"/>
            <w:bookmarkEnd w:id="168"/>
            <w:bookmarkStart w:id="169" w:name="_Toc30007"/>
            <w:bookmarkEnd w:id="169"/>
            <w:bookmarkStart w:id="170" w:name="_Toc14320"/>
            <w:bookmarkEnd w:id="170"/>
            <w:bookmarkStart w:id="171" w:name="_Toc22689"/>
            <w:bookmarkEnd w:id="171"/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地表水达到或好于Ⅲ类水体比例100%。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72" w:name="_Toc15750"/>
            <w:bookmarkEnd w:id="172"/>
            <w:bookmarkStart w:id="173" w:name="_Toc22045"/>
            <w:bookmarkEnd w:id="173"/>
            <w:bookmarkStart w:id="174" w:name="_Toc14359"/>
            <w:bookmarkEnd w:id="174"/>
            <w:bookmarkStart w:id="175" w:name="_Toc32171"/>
            <w:bookmarkEnd w:id="175"/>
            <w:bookmarkStart w:id="176" w:name="_Toc3724"/>
            <w:bookmarkEnd w:id="176"/>
            <w:bookmarkStart w:id="177" w:name="_Toc12024"/>
            <w:bookmarkEnd w:id="177"/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生态网络体系建设逐渐完善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落实2022年新增森林面积任务1.43万亩，森林覆盖率30.62%，相较于去年提升0.07个百分点，预计2025可以达到目标值。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78" w:name="_Toc26315"/>
            <w:bookmarkEnd w:id="178"/>
            <w:bookmarkStart w:id="179" w:name="_Toc1192"/>
            <w:bookmarkEnd w:id="179"/>
            <w:bookmarkStart w:id="180" w:name="_Toc29057"/>
            <w:bookmarkEnd w:id="180"/>
            <w:bookmarkStart w:id="181" w:name="_Toc25436"/>
            <w:bookmarkEnd w:id="181"/>
            <w:bookmarkStart w:id="182" w:name="_Toc1891"/>
            <w:bookmarkEnd w:id="182"/>
            <w:bookmarkStart w:id="183" w:name="_Toc12153"/>
            <w:bookmarkEnd w:id="183"/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新建绿地20公顷、生态绿道30.33公里、立体绿化1.73万平方米、口袋公园10座，人均公园绿地面积10.59平方米/人，绿地建设成效显著。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84" w:name="_Toc10897"/>
            <w:bookmarkEnd w:id="184"/>
            <w:bookmarkStart w:id="185" w:name="_Toc2347"/>
            <w:bookmarkEnd w:id="185"/>
            <w:bookmarkStart w:id="186" w:name="_Toc13073"/>
            <w:bookmarkEnd w:id="186"/>
            <w:bookmarkStart w:id="187" w:name="_Toc8536"/>
            <w:bookmarkEnd w:id="187"/>
            <w:bookmarkStart w:id="188" w:name="_Toc1982"/>
            <w:bookmarkEnd w:id="188"/>
            <w:bookmarkStart w:id="189" w:name="_Toc14771"/>
            <w:bookmarkEnd w:id="189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绿色低碳交通体系逐步完善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全年更新完成新能源公交车43辆，新能源和清洁能源公交车比例99.69%。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90" w:name="_Toc532"/>
            <w:bookmarkEnd w:id="190"/>
            <w:bookmarkStart w:id="191" w:name="_Toc18489"/>
            <w:bookmarkEnd w:id="191"/>
            <w:bookmarkStart w:id="192" w:name="_Toc31985"/>
            <w:bookmarkEnd w:id="192"/>
            <w:bookmarkStart w:id="193" w:name="_Toc17965"/>
            <w:bookmarkEnd w:id="193"/>
            <w:bookmarkStart w:id="194" w:name="_Toc23965"/>
            <w:bookmarkEnd w:id="194"/>
            <w:bookmarkStart w:id="195" w:name="_Toc22552"/>
            <w:bookmarkEnd w:id="195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文化软实力不断增强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每10万人拥有文化设施数量4.79个，高于东京2.9个和北京1.7个。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196" w:name="_Toc6709"/>
            <w:bookmarkEnd w:id="196"/>
            <w:bookmarkStart w:id="197" w:name="_Toc18557"/>
            <w:bookmarkEnd w:id="197"/>
            <w:bookmarkStart w:id="198" w:name="_Toc29824"/>
            <w:bookmarkEnd w:id="198"/>
            <w:bookmarkStart w:id="199" w:name="_Toc7058"/>
            <w:bookmarkEnd w:id="199"/>
            <w:bookmarkStart w:id="200" w:name="_Toc19792"/>
            <w:bookmarkEnd w:id="200"/>
            <w:bookmarkStart w:id="201" w:name="_Toc13561"/>
            <w:bookmarkEnd w:id="201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专业化物业服务稳步提高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崇明区163个小区实施专业化物业服务，实施专业化物业服务的小区占比98.79%，均以问题为导向，通过细化监管手段，用好信用信息披露结果，警示物业强化服务，提升服务水平，并通过开展行业培训，和继续教育，提高物业从业人员素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02" w:name="_Toc11767"/>
            <w:bookmarkEnd w:id="202"/>
            <w:bookmarkStart w:id="203" w:name="_Toc14611"/>
            <w:bookmarkEnd w:id="203"/>
            <w:bookmarkStart w:id="204" w:name="_Toc22551"/>
            <w:bookmarkEnd w:id="204"/>
            <w:bookmarkStart w:id="205" w:name="_Toc1086"/>
            <w:bookmarkEnd w:id="205"/>
            <w:bookmarkStart w:id="206" w:name="_Toc13554"/>
            <w:bookmarkEnd w:id="206"/>
            <w:bookmarkStart w:id="207" w:name="_Toc14518"/>
            <w:bookmarkEnd w:id="207"/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街面秩序优势突出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崇明区2022年车辆停放有序性97.98%，构建良好的静态交通环境，科学规划道路和人行道停车泊位，精准发力施划停车位。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08" w:name="_Toc11231"/>
            <w:bookmarkEnd w:id="208"/>
            <w:bookmarkStart w:id="209" w:name="_Toc30520"/>
            <w:bookmarkEnd w:id="209"/>
            <w:bookmarkStart w:id="210" w:name="_Toc7593"/>
            <w:bookmarkEnd w:id="210"/>
            <w:bookmarkStart w:id="211" w:name="_Toc1894"/>
            <w:bookmarkEnd w:id="211"/>
            <w:bookmarkStart w:id="212" w:name="_Toc26571"/>
            <w:bookmarkEnd w:id="212"/>
            <w:bookmarkStart w:id="213" w:name="_Toc20435"/>
            <w:bookmarkEnd w:id="213"/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推进城区智慧化发展</w:t>
            </w: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新一代型信息基础设施建设加快推进，累计建成5G基站（逻辑站）3436个，崇明区万人5G基站占有率全市第一。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14" w:name="_Toc23512"/>
            <w:bookmarkEnd w:id="214"/>
            <w:bookmarkStart w:id="215" w:name="_Toc16433"/>
            <w:bookmarkEnd w:id="215"/>
            <w:bookmarkStart w:id="216" w:name="_Toc12029"/>
            <w:bookmarkEnd w:id="216"/>
            <w:bookmarkStart w:id="217" w:name="_Toc31396"/>
            <w:bookmarkEnd w:id="217"/>
            <w:bookmarkStart w:id="218" w:name="_Toc4313"/>
            <w:bookmarkEnd w:id="218"/>
            <w:bookmarkStart w:id="219" w:name="_Toc19817"/>
            <w:bookmarkEnd w:id="219"/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220" w:name="_Toc831"/>
            <w:bookmarkStart w:id="221" w:name="_Toc8621"/>
            <w:bookmarkStart w:id="222" w:name="_Toc3561"/>
            <w:bookmarkStart w:id="223" w:name="_Toc22957"/>
            <w:bookmarkStart w:id="224" w:name="_Toc662"/>
            <w:bookmarkStart w:id="225" w:name="_Toc1180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截至2022年全区内符合相关条件的建筑工程中应用BIM技术的项目数量17个，占符合条件项目总数的89.47%，大力推进城区智慧工地。</w:t>
            </w:r>
            <w:bookmarkEnd w:id="220"/>
            <w:bookmarkEnd w:id="221"/>
            <w:bookmarkEnd w:id="222"/>
            <w:bookmarkEnd w:id="223"/>
            <w:bookmarkEnd w:id="224"/>
            <w:bookmarkEnd w:id="225"/>
          </w:p>
        </w:tc>
      </w:tr>
    </w:tbl>
    <w:p>
      <w:pPr>
        <w:pStyle w:val="4"/>
        <w:spacing w:after="240" w:line="560" w:lineRule="exact"/>
        <w:rPr>
          <w:rFonts w:hint="eastAsia"/>
        </w:rPr>
      </w:pPr>
      <w:bookmarkStart w:id="226" w:name="_Toc19977"/>
      <w:bookmarkStart w:id="227" w:name="_Toc10834"/>
      <w:bookmarkStart w:id="228" w:name="_Toc17720"/>
      <w:bookmarkStart w:id="229" w:name="_Toc1116"/>
      <w:bookmarkStart w:id="230" w:name="_Toc10692"/>
      <w:bookmarkStart w:id="231" w:name="_Toc31130"/>
    </w:p>
    <w:p>
      <w:pPr>
        <w:pStyle w:val="4"/>
        <w:spacing w:after="240" w:line="560" w:lineRule="exact"/>
        <w:rPr>
          <w:rFonts w:hint="eastAsia"/>
        </w:rPr>
      </w:pPr>
    </w:p>
    <w:p>
      <w:pPr>
        <w:pStyle w:val="4"/>
        <w:spacing w:after="240" w:line="560" w:lineRule="exact"/>
        <w:rPr>
          <w:rFonts w:hint="eastAsia"/>
        </w:rPr>
      </w:pPr>
    </w:p>
    <w:p>
      <w:pPr>
        <w:pStyle w:val="4"/>
        <w:spacing w:after="240" w:line="560" w:lineRule="exact"/>
      </w:pPr>
      <w:r>
        <w:rPr>
          <w:rFonts w:hint="eastAsia"/>
        </w:rPr>
        <w:t>附录3</w:t>
      </w:r>
      <w:bookmarkEnd w:id="226"/>
      <w:bookmarkEnd w:id="227"/>
      <w:bookmarkEnd w:id="228"/>
      <w:bookmarkEnd w:id="229"/>
      <w:bookmarkEnd w:id="230"/>
      <w:bookmarkEnd w:id="231"/>
      <w:bookmarkStart w:id="232" w:name="_Toc22276"/>
      <w:bookmarkStart w:id="233" w:name="_Toc7622"/>
      <w:bookmarkStart w:id="234" w:name="_Toc27470"/>
      <w:bookmarkStart w:id="235" w:name="_Toc16540"/>
      <w:bookmarkStart w:id="236" w:name="_Toc17527"/>
      <w:bookmarkStart w:id="237" w:name="_Toc3864"/>
      <w:r>
        <w:rPr>
          <w:rFonts w:hint="eastAsia"/>
        </w:rPr>
        <w:t xml:space="preserve"> 2023年崇明区城市体检问题与预警清单</w:t>
      </w:r>
      <w:bookmarkEnd w:id="232"/>
      <w:bookmarkEnd w:id="233"/>
      <w:bookmarkEnd w:id="234"/>
      <w:bookmarkEnd w:id="235"/>
      <w:bookmarkEnd w:id="236"/>
      <w:bookmarkEnd w:id="237"/>
    </w:p>
    <w:tbl>
      <w:tblPr>
        <w:tblStyle w:val="40"/>
        <w:tblW w:w="153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77"/>
        <w:gridCol w:w="710"/>
        <w:gridCol w:w="5810"/>
        <w:gridCol w:w="5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spacing w:line="560" w:lineRule="exact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</w:pPr>
            <w:bookmarkStart w:id="238" w:name="_Toc8489"/>
            <w:bookmarkStart w:id="239" w:name="_Toc7342"/>
            <w:bookmarkStart w:id="240" w:name="_Toc8945"/>
            <w:bookmarkStart w:id="241" w:name="_Toc28222"/>
            <w:bookmarkStart w:id="242" w:name="_Toc30437"/>
            <w:bookmarkStart w:id="243" w:name="_Toc21311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  <w:t>序号</w:t>
            </w:r>
            <w:bookmarkEnd w:id="238"/>
            <w:bookmarkEnd w:id="239"/>
            <w:bookmarkEnd w:id="240"/>
            <w:bookmarkEnd w:id="241"/>
            <w:bookmarkEnd w:id="242"/>
            <w:bookmarkEnd w:id="243"/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spacing w:line="560" w:lineRule="exact"/>
              <w:ind w:firstLine="361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</w:pPr>
            <w:bookmarkStart w:id="244" w:name="_Toc23463"/>
            <w:bookmarkStart w:id="245" w:name="_Toc23045"/>
            <w:bookmarkStart w:id="246" w:name="_Toc11551"/>
            <w:bookmarkStart w:id="247" w:name="_Toc15033"/>
            <w:bookmarkStart w:id="248" w:name="_Toc5387"/>
            <w:bookmarkStart w:id="249" w:name="_Toc24234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  <w:t>城市问题与预警</w:t>
            </w:r>
            <w:bookmarkEnd w:id="244"/>
            <w:bookmarkEnd w:id="245"/>
            <w:bookmarkEnd w:id="246"/>
            <w:bookmarkEnd w:id="247"/>
            <w:bookmarkEnd w:id="248"/>
            <w:bookmarkEnd w:id="249"/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spacing w:line="560" w:lineRule="exact"/>
              <w:ind w:firstLine="361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</w:pPr>
            <w:bookmarkStart w:id="250" w:name="_Toc19296"/>
            <w:bookmarkStart w:id="251" w:name="_Toc25815"/>
            <w:bookmarkStart w:id="252" w:name="_Toc9730"/>
            <w:bookmarkStart w:id="253" w:name="_Toc30109"/>
            <w:bookmarkStart w:id="254" w:name="_Toc24744"/>
            <w:bookmarkStart w:id="255" w:name="_Toc13276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  <w:t>具体问题与预警</w:t>
            </w:r>
            <w:bookmarkEnd w:id="250"/>
            <w:bookmarkEnd w:id="251"/>
            <w:bookmarkEnd w:id="252"/>
            <w:bookmarkEnd w:id="253"/>
            <w:bookmarkEnd w:id="254"/>
            <w:bookmarkEnd w:id="255"/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spacing w:line="560" w:lineRule="exact"/>
              <w:ind w:firstLine="361" w:firstLineChars="200"/>
              <w:outlineLvl w:val="1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</w:pPr>
            <w:bookmarkStart w:id="256" w:name="_Toc1957"/>
            <w:bookmarkStart w:id="257" w:name="_Toc18623"/>
            <w:bookmarkStart w:id="258" w:name="_Toc21647"/>
            <w:bookmarkStart w:id="259" w:name="_Toc21433"/>
            <w:bookmarkStart w:id="260" w:name="_Toc23002"/>
            <w:bookmarkStart w:id="261" w:name="_Toc14250"/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18"/>
                <w:szCs w:val="18"/>
              </w:rPr>
              <w:t>治理措施</w:t>
            </w:r>
            <w:bookmarkEnd w:id="256"/>
            <w:bookmarkEnd w:id="257"/>
            <w:bookmarkEnd w:id="258"/>
            <w:bookmarkEnd w:id="259"/>
            <w:bookmarkEnd w:id="260"/>
            <w:bookmarkEnd w:id="26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62" w:name="_Toc17507"/>
            <w:bookmarkEnd w:id="262"/>
            <w:bookmarkStart w:id="263" w:name="_Toc23811"/>
            <w:bookmarkEnd w:id="263"/>
            <w:bookmarkStart w:id="264" w:name="_Toc32314"/>
            <w:bookmarkEnd w:id="264"/>
            <w:bookmarkStart w:id="265" w:name="_Toc881"/>
            <w:bookmarkEnd w:id="265"/>
            <w:bookmarkStart w:id="266" w:name="_Toc11129"/>
            <w:bookmarkEnd w:id="266"/>
            <w:bookmarkStart w:id="267" w:name="_Toc16662"/>
            <w:bookmarkEnd w:id="267"/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体育设施结构不优，城乡之间、区域之间分布不平衡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截至2022年，已建成社区级市民健身中心数量仅1个，未满足建设目标。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以提升“15分钟体育生活圈”为目标，推进“一道、一场、多点”的基本健身设施建设。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托育服务体系不完善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托育服务设施覆盖率0%，2022崇明区大力推进各乡镇“宝宝屋”建设，但目前进度有所不同，工作推进难度较大，目前主要是需投入的大量人力物力，资金短缺等问题。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鼓励引导企事业单位、社会组织或个人单独或联合举办一批连锁化、专业化、高品质的托育服务机构，同时深化教养医结合，提高托育服务质量。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公共消防设施、消防装备不足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城区消防站服务半径覆盖率仅20.79%，相较于其他区，排名靠后。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结合后台数据和信息布置相应站点。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排查工作无法统筹联动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存在使用安全隐患的住宅排查工作涉及多个部门，需要协同配合，无法统筹联动。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建立沟通机制和流程；明确工作职责和分工；建立协同合作机制；加强部门间的合作培训和交流；建立绩效激励机制。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68" w:name="_Toc22534"/>
            <w:bookmarkEnd w:id="268"/>
            <w:bookmarkStart w:id="269" w:name="_Toc4232"/>
            <w:bookmarkEnd w:id="269"/>
            <w:bookmarkStart w:id="270" w:name="_Toc15751"/>
            <w:bookmarkEnd w:id="270"/>
            <w:bookmarkStart w:id="271" w:name="_Toc19436"/>
            <w:bookmarkEnd w:id="271"/>
            <w:bookmarkStart w:id="272" w:name="_Toc29201"/>
            <w:bookmarkEnd w:id="272"/>
            <w:bookmarkStart w:id="273" w:name="_Toc14474"/>
            <w:bookmarkEnd w:id="273"/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应急维修能级也亟须提升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各责任主体安全意识较为薄弱，相关从业人员安全素质有待提高。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加强培训，建立隐患台账，实行销项管理，保障市民生命财产安全。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74" w:name="_Toc32460"/>
            <w:bookmarkEnd w:id="274"/>
            <w:bookmarkStart w:id="275" w:name="_Toc24678"/>
            <w:bookmarkEnd w:id="275"/>
            <w:bookmarkStart w:id="276" w:name="_Toc22709"/>
            <w:bookmarkEnd w:id="276"/>
            <w:bookmarkStart w:id="277" w:name="_Toc13260"/>
            <w:bookmarkEnd w:id="277"/>
            <w:bookmarkStart w:id="278" w:name="_Toc11474"/>
            <w:bookmarkEnd w:id="278"/>
            <w:bookmarkStart w:id="279" w:name="_Toc4848"/>
            <w:bookmarkEnd w:id="279"/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住房更新改造推进缓慢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部分房屋改造缺乏政策通道，在改造后的规划验收及产证办理方面也存在难题，可能会导致改造后的房屋无法正常使用和交易。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建立健全资金综合平衡机制；分类推进旧住房更新改造；探索建立社区自主更新机制；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"/>
              </w:rPr>
              <w:t>加强布局规划推进集中居住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80" w:name="_Toc0"/>
            <w:bookmarkEnd w:id="280"/>
            <w:bookmarkStart w:id="281" w:name="_Toc18866"/>
            <w:bookmarkEnd w:id="281"/>
            <w:bookmarkStart w:id="282" w:name="_Toc28495"/>
            <w:bookmarkEnd w:id="282"/>
            <w:bookmarkStart w:id="283" w:name="_Toc20985"/>
            <w:bookmarkEnd w:id="283"/>
            <w:bookmarkStart w:id="284" w:name="_Toc25400"/>
            <w:bookmarkEnd w:id="284"/>
            <w:bookmarkStart w:id="285" w:name="_Toc18034"/>
            <w:bookmarkEnd w:id="285"/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全区内累计客观条件可加的电梯数量为3951台，既有多层住宅电梯加装率仅为4.2%。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加强各层级、各部门的协同工作制度，多做，做好居民工作。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86" w:name="_Toc14171"/>
            <w:bookmarkEnd w:id="286"/>
            <w:bookmarkStart w:id="287" w:name="_Toc9015"/>
            <w:bookmarkEnd w:id="287"/>
            <w:bookmarkStart w:id="288" w:name="_Toc12022"/>
            <w:bookmarkEnd w:id="288"/>
            <w:bookmarkStart w:id="289" w:name="_Toc27690"/>
            <w:bookmarkEnd w:id="289"/>
            <w:bookmarkStart w:id="290" w:name="_Toc23371"/>
            <w:bookmarkEnd w:id="290"/>
            <w:bookmarkStart w:id="291" w:name="_Toc8570"/>
            <w:bookmarkEnd w:id="291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村集体经济发展缺乏后劲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"/>
              </w:rPr>
              <w:t>大部分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村缺少固定资产，加之受地域限制、经济基础薄弱等因素制约，导致村级集体经济发展乏力，发展壮大集体经济后劲不足，同时建成项目后期养护存在短板。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"/>
              </w:rPr>
              <w:t>坚持产业引导到村民致富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，巩固已建成示范村建设成效。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92" w:name="_Toc16617"/>
            <w:bookmarkEnd w:id="292"/>
            <w:bookmarkStart w:id="293" w:name="_Toc25753"/>
            <w:bookmarkEnd w:id="293"/>
            <w:bookmarkStart w:id="294" w:name="_Toc2206"/>
            <w:bookmarkEnd w:id="294"/>
            <w:bookmarkStart w:id="295" w:name="_Toc721"/>
            <w:bookmarkEnd w:id="295"/>
            <w:bookmarkStart w:id="296" w:name="_Toc20352"/>
            <w:bookmarkEnd w:id="296"/>
            <w:bookmarkStart w:id="297" w:name="_Toc17789"/>
            <w:bookmarkEnd w:id="297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新申请绿色食品认证主体与标准要求存在基础设施与管理能力差距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一些新申请认证的主体由于经济条件或者技术水平有限，未能满足基础设施的要求，同时，新申请认证的主体在管理能力方面存在一定欠缺。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加强管理。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298" w:name="_Toc4124"/>
            <w:bookmarkEnd w:id="298"/>
            <w:bookmarkStart w:id="299" w:name="_Toc14976"/>
            <w:bookmarkEnd w:id="299"/>
            <w:bookmarkStart w:id="300" w:name="_Toc222"/>
            <w:bookmarkEnd w:id="300"/>
            <w:bookmarkStart w:id="301" w:name="_Toc20005"/>
            <w:bookmarkEnd w:id="301"/>
            <w:bookmarkStart w:id="302" w:name="_Toc209"/>
            <w:bookmarkEnd w:id="302"/>
            <w:bookmarkStart w:id="303" w:name="_Toc22048"/>
            <w:bookmarkEnd w:id="303"/>
          </w:p>
        </w:tc>
        <w:tc>
          <w:tcPr>
            <w:tcW w:w="29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建筑节能与运行方面存在短板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既有居住建筑节能改造推进缓慢。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考虑鼓励实施住房更新修缮的同时同步实施建筑节能改造。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04" w:name="_Toc3646"/>
            <w:bookmarkEnd w:id="304"/>
            <w:bookmarkStart w:id="305" w:name="_Toc19461"/>
            <w:bookmarkEnd w:id="305"/>
            <w:bookmarkStart w:id="306" w:name="_Toc22089"/>
            <w:bookmarkEnd w:id="306"/>
            <w:bookmarkStart w:id="307" w:name="_Toc26114"/>
            <w:bookmarkEnd w:id="307"/>
            <w:bookmarkStart w:id="308" w:name="_Toc5914"/>
            <w:bookmarkEnd w:id="308"/>
            <w:bookmarkStart w:id="309" w:name="_Toc4878"/>
            <w:bookmarkEnd w:id="309"/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超低能耗建筑增量成本较高，推广较难，开发商对近零能耗、零能耗等节能低碳建筑的意愿不足。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有序推进既有建筑节能改造和管理。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10" w:name="_Toc12496"/>
            <w:bookmarkEnd w:id="310"/>
            <w:bookmarkStart w:id="311" w:name="_Toc19149"/>
            <w:bookmarkEnd w:id="311"/>
            <w:bookmarkStart w:id="312" w:name="_Toc29202"/>
            <w:bookmarkEnd w:id="312"/>
            <w:bookmarkStart w:id="313" w:name="_Toc20995"/>
            <w:bookmarkEnd w:id="313"/>
            <w:bookmarkStart w:id="314" w:name="_Toc22601"/>
            <w:bookmarkEnd w:id="314"/>
            <w:bookmarkStart w:id="315" w:name="_Toc2047"/>
            <w:bookmarkEnd w:id="315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装配式建筑预制率较高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多层建筑的一层需要加强底部结构，不适合预制，影响了预制率，难以满足装配式建筑的要求。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开展专家评审，进一步评估装配式建筑预制率，进行调整。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16" w:name="_Toc11910"/>
            <w:bookmarkEnd w:id="316"/>
            <w:bookmarkStart w:id="317" w:name="_Toc13346"/>
            <w:bookmarkEnd w:id="317"/>
            <w:bookmarkStart w:id="318" w:name="_Toc29322"/>
            <w:bookmarkEnd w:id="318"/>
            <w:bookmarkStart w:id="319" w:name="_Toc8802"/>
            <w:bookmarkEnd w:id="319"/>
            <w:bookmarkStart w:id="320" w:name="_Toc6178"/>
            <w:bookmarkEnd w:id="320"/>
            <w:bookmarkStart w:id="321" w:name="_Toc10299"/>
            <w:bookmarkEnd w:id="321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生活垃圾分类居民意识逐渐松懈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2022年崇明区满足《上海市生活垃圾管理条例》的目标值95%，但相较于2019年下降了3.9个百分点，部分居民主动分类意识有所松懈，混投乱放等问题反弹回潮。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不断提升垃圾分类管理智能化水平，加强宣传教育。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22" w:name="_Toc6948"/>
            <w:bookmarkEnd w:id="322"/>
            <w:bookmarkStart w:id="323" w:name="_Toc16276"/>
            <w:bookmarkEnd w:id="323"/>
            <w:bookmarkStart w:id="324" w:name="_Toc7562"/>
            <w:bookmarkEnd w:id="324"/>
            <w:bookmarkStart w:id="325" w:name="_Toc32574"/>
            <w:bookmarkEnd w:id="325"/>
            <w:bookmarkStart w:id="326" w:name="_Toc15829"/>
            <w:bookmarkEnd w:id="326"/>
            <w:bookmarkStart w:id="327" w:name="_Toc26157"/>
            <w:bookmarkEnd w:id="327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zh-CN"/>
              </w:rPr>
              <w:t>部分慢行高压路段慢行空间不够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目前部分老城区道路受到用地性质制约，道路实际宽度有限，难以建设专用非机动车道。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完善安全通达的骑行网络和舒适便捷的步行活动区域。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28" w:name="_Toc24038"/>
            <w:bookmarkEnd w:id="328"/>
            <w:bookmarkStart w:id="329" w:name="_Toc23750"/>
            <w:bookmarkEnd w:id="329"/>
            <w:bookmarkStart w:id="330" w:name="_Toc23883"/>
            <w:bookmarkEnd w:id="330"/>
            <w:bookmarkStart w:id="331" w:name="_Toc22669"/>
            <w:bookmarkEnd w:id="331"/>
            <w:bookmarkStart w:id="332" w:name="_Toc9211"/>
            <w:bookmarkEnd w:id="332"/>
            <w:bookmarkStart w:id="333" w:name="_Toc18220"/>
            <w:bookmarkEnd w:id="333"/>
          </w:p>
        </w:tc>
        <w:tc>
          <w:tcPr>
            <w:tcW w:w="29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公交体系有待进一步完善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崇明区建成区较多尚处于待开发状态，缺乏公交覆盖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优化线网布局，提高线网调整的针对性和精准度。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34" w:name="_Toc23952"/>
            <w:bookmarkEnd w:id="334"/>
            <w:bookmarkStart w:id="335" w:name="_Toc11814"/>
            <w:bookmarkEnd w:id="335"/>
            <w:bookmarkStart w:id="336" w:name="_Toc20735"/>
            <w:bookmarkEnd w:id="336"/>
            <w:bookmarkStart w:id="337" w:name="_Toc26071"/>
            <w:bookmarkEnd w:id="337"/>
            <w:bookmarkStart w:id="338" w:name="_Toc1175"/>
            <w:bookmarkEnd w:id="338"/>
            <w:bookmarkStart w:id="339" w:name="_Toc19330"/>
            <w:bookmarkEnd w:id="339"/>
          </w:p>
        </w:tc>
        <w:tc>
          <w:tcPr>
            <w:tcW w:w="2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部分乡村线路营运配车需要更新车长较短车型；纯电动公交车续航里程短，难于满足超长线路（市通郊线路）营运需求。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加大新能源公交车购置补贴、运营补贴、充电设施建设等公交专项扶持资金。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40" w:name="_Toc19035"/>
            <w:bookmarkEnd w:id="340"/>
            <w:bookmarkStart w:id="341" w:name="_Toc8349"/>
            <w:bookmarkEnd w:id="341"/>
            <w:bookmarkStart w:id="342" w:name="_Toc12685"/>
            <w:bookmarkEnd w:id="342"/>
            <w:bookmarkStart w:id="343" w:name="_Toc13301"/>
            <w:bookmarkEnd w:id="343"/>
            <w:bookmarkStart w:id="344" w:name="_Toc15796"/>
            <w:bookmarkEnd w:id="344"/>
            <w:bookmarkStart w:id="345" w:name="_Toc13358"/>
            <w:bookmarkEnd w:id="345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历史建筑空置率较高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崇明区2022年不可移动文物空置率15.98%，优秀历史建筑空置率50%，整体来看，属于历史文化空置率较高情况。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多维度，多元化提高文物保护及优秀历史建筑活化利用。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46" w:name="_Toc26888"/>
            <w:bookmarkEnd w:id="346"/>
            <w:bookmarkStart w:id="347" w:name="_Toc19311"/>
            <w:bookmarkEnd w:id="347"/>
            <w:bookmarkStart w:id="348" w:name="_Toc15255"/>
            <w:bookmarkEnd w:id="348"/>
            <w:bookmarkStart w:id="349" w:name="_Toc3095"/>
            <w:bookmarkEnd w:id="349"/>
            <w:bookmarkStart w:id="350" w:name="_Toc26407"/>
            <w:bookmarkEnd w:id="350"/>
            <w:bookmarkStart w:id="351" w:name="_Toc28150"/>
            <w:bookmarkEnd w:id="351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人口老龄化程度持续提高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2022年全区的人口年龄中位数已达55岁，预期2025年全区老龄化比例持续上升。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积极鼓励老年人参与社会。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ind w:firstLine="360" w:firstLineChars="200"/>
              <w:outlineLvl w:val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bookmarkStart w:id="352" w:name="_Toc30984"/>
            <w:bookmarkEnd w:id="352"/>
            <w:bookmarkStart w:id="353" w:name="_Toc8338"/>
            <w:bookmarkEnd w:id="353"/>
            <w:bookmarkStart w:id="354" w:name="_Toc32703"/>
            <w:bookmarkEnd w:id="354"/>
            <w:bookmarkStart w:id="355" w:name="_Toc7160"/>
            <w:bookmarkEnd w:id="355"/>
            <w:bookmarkStart w:id="356" w:name="_Toc23576"/>
            <w:bookmarkEnd w:id="356"/>
            <w:bookmarkStart w:id="357" w:name="_Toc16868"/>
            <w:bookmarkEnd w:id="357"/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推进数字社区创建工作不明确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预警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未推进陈家镇数字社区试点创建相关工作，数字社区创建标准不明确。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3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建设重点实战应用场景。聚焦“大治理”领域，落实数字社区建设标准。</w:t>
            </w:r>
          </w:p>
        </w:tc>
      </w:tr>
    </w:tbl>
    <w:p>
      <w:pPr>
        <w:pStyle w:val="4"/>
        <w:spacing w:after="240"/>
        <w:ind w:left="0" w:leftChars="0" w:firstLine="0" w:firstLineChars="0"/>
        <w:rPr>
          <w:rFonts w:hint="eastAsia"/>
        </w:rPr>
      </w:pPr>
    </w:p>
    <w:p>
      <w:pPr>
        <w:pStyle w:val="4"/>
        <w:spacing w:after="240"/>
        <w:rPr>
          <w:rFonts w:hint="eastAsia"/>
        </w:rPr>
      </w:pPr>
    </w:p>
    <w:p>
      <w:pPr>
        <w:pStyle w:val="4"/>
        <w:spacing w:after="240"/>
        <w:rPr>
          <w:rFonts w:hint="eastAsia"/>
        </w:rPr>
      </w:pPr>
    </w:p>
    <w:p>
      <w:pPr>
        <w:pStyle w:val="4"/>
        <w:spacing w:after="240"/>
        <w:rPr>
          <w:rFonts w:hint="eastAsia"/>
        </w:rPr>
      </w:pPr>
    </w:p>
    <w:p>
      <w:pPr>
        <w:pStyle w:val="4"/>
        <w:spacing w:after="240"/>
        <w:rPr>
          <w:rFonts w:hint="eastAsia"/>
        </w:rPr>
      </w:pPr>
    </w:p>
    <w:p>
      <w:pPr>
        <w:pStyle w:val="4"/>
        <w:spacing w:after="240"/>
      </w:pPr>
      <w:r>
        <w:rPr>
          <w:rFonts w:hint="eastAsia"/>
        </w:rPr>
        <w:t>附录</w:t>
      </w:r>
      <w:r>
        <w:t>4</w:t>
      </w:r>
      <w:r>
        <w:rPr>
          <w:rFonts w:hint="eastAsia"/>
        </w:rPr>
        <w:t xml:space="preserve"> 2023年崇明区城市行动计划和项目清单</w:t>
      </w:r>
    </w:p>
    <w:tbl>
      <w:tblPr>
        <w:tblStyle w:val="40"/>
        <w:tblW w:w="153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330"/>
        <w:gridCol w:w="810"/>
        <w:gridCol w:w="5224"/>
        <w:gridCol w:w="1157"/>
        <w:gridCol w:w="31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358" w:name="_Toc7628"/>
            <w:bookmarkStart w:id="359" w:name="_Toc32142"/>
            <w:bookmarkStart w:id="360" w:name="_Toc23424"/>
            <w:bookmarkStart w:id="361" w:name="_Toc6202"/>
            <w:bookmarkStart w:id="362" w:name="_Toc2699"/>
            <w:bookmarkStart w:id="363" w:name="_Toc22132"/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提升目标</w:t>
            </w:r>
            <w:bookmarkEnd w:id="358"/>
            <w:bookmarkEnd w:id="359"/>
            <w:bookmarkEnd w:id="360"/>
            <w:bookmarkEnd w:id="361"/>
            <w:bookmarkEnd w:id="362"/>
            <w:bookmarkEnd w:id="363"/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364" w:name="_Toc30748"/>
            <w:bookmarkStart w:id="365" w:name="_Toc9663"/>
            <w:bookmarkStart w:id="366" w:name="_Toc25381"/>
            <w:bookmarkStart w:id="367" w:name="_Toc32468"/>
            <w:bookmarkStart w:id="368" w:name="_Toc13556"/>
            <w:bookmarkStart w:id="369" w:name="_Toc10947"/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行动计划</w:t>
            </w:r>
            <w:bookmarkEnd w:id="364"/>
            <w:bookmarkEnd w:id="365"/>
            <w:bookmarkEnd w:id="366"/>
            <w:bookmarkEnd w:id="367"/>
            <w:bookmarkEnd w:id="368"/>
            <w:bookmarkEnd w:id="369"/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370" w:name="_Toc22337"/>
            <w:bookmarkStart w:id="371" w:name="_Toc30408"/>
            <w:bookmarkStart w:id="372" w:name="_Toc22095"/>
            <w:bookmarkStart w:id="373" w:name="_Toc14341"/>
            <w:bookmarkStart w:id="374" w:name="_Toc27167"/>
            <w:bookmarkStart w:id="375" w:name="_Toc22710"/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序号</w:t>
            </w:r>
            <w:bookmarkEnd w:id="370"/>
            <w:bookmarkEnd w:id="371"/>
            <w:bookmarkEnd w:id="372"/>
            <w:bookmarkEnd w:id="373"/>
            <w:bookmarkEnd w:id="374"/>
            <w:bookmarkEnd w:id="375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376" w:name="_Toc7931"/>
            <w:bookmarkStart w:id="377" w:name="_Toc4562"/>
            <w:bookmarkStart w:id="378" w:name="_Toc14813"/>
            <w:bookmarkStart w:id="379" w:name="_Toc32430"/>
            <w:bookmarkStart w:id="380" w:name="_Toc12697"/>
            <w:bookmarkStart w:id="381" w:name="_Toc27622"/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项目清单</w:t>
            </w:r>
            <w:bookmarkEnd w:id="376"/>
            <w:bookmarkEnd w:id="377"/>
            <w:bookmarkEnd w:id="378"/>
            <w:bookmarkEnd w:id="379"/>
            <w:bookmarkEnd w:id="380"/>
            <w:bookmarkEnd w:id="381"/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382" w:name="_Toc30167"/>
            <w:bookmarkStart w:id="383" w:name="_Toc24516"/>
            <w:bookmarkStart w:id="384" w:name="_Toc7130"/>
            <w:bookmarkStart w:id="385" w:name="_Toc21710"/>
            <w:bookmarkStart w:id="386" w:name="_Toc10856"/>
            <w:bookmarkStart w:id="387" w:name="_Toc25800"/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项目优先级</w:t>
            </w:r>
            <w:bookmarkEnd w:id="382"/>
            <w:bookmarkEnd w:id="383"/>
            <w:bookmarkEnd w:id="384"/>
            <w:bookmarkEnd w:id="385"/>
            <w:bookmarkEnd w:id="386"/>
            <w:bookmarkEnd w:id="387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E7055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388" w:name="_Toc29709"/>
            <w:bookmarkStart w:id="389" w:name="_Toc19518"/>
            <w:bookmarkStart w:id="390" w:name="_Toc17346"/>
            <w:bookmarkStart w:id="391" w:name="_Toc30208"/>
            <w:bookmarkStart w:id="392" w:name="_Toc1568"/>
            <w:bookmarkStart w:id="393" w:name="_Toc16246"/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牵头部门</w:t>
            </w:r>
            <w:bookmarkEnd w:id="388"/>
            <w:bookmarkEnd w:id="389"/>
            <w:bookmarkEnd w:id="390"/>
            <w:bookmarkEnd w:id="391"/>
            <w:bookmarkEnd w:id="392"/>
            <w:bookmarkEnd w:id="39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科学布局养老服务设施、提高社会认识度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科学布局社区为老服务设施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新增2家综合为老服务中心（分中心）。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区民政局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新增2家社区老年助餐服务场所。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区民政局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加大政策宣传力度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组织体验活动，提高老年人的接受度。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区民政局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推进教育发展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促进普惠教育发展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394" w:name="_Toc575"/>
            <w:bookmarkEnd w:id="394"/>
            <w:bookmarkStart w:id="395" w:name="_Toc19575"/>
            <w:bookmarkEnd w:id="395"/>
            <w:bookmarkStart w:id="396" w:name="_Toc1413"/>
            <w:bookmarkEnd w:id="396"/>
            <w:bookmarkStart w:id="397" w:name="_Toc12594"/>
            <w:bookmarkEnd w:id="397"/>
            <w:bookmarkStart w:id="398" w:name="_Toc1403"/>
            <w:bookmarkEnd w:id="398"/>
            <w:bookmarkStart w:id="399" w:name="_Toc482"/>
            <w:bookmarkEnd w:id="39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开设42个小学生爱心暑托班。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00" w:name="_Toc22151"/>
            <w:bookmarkStart w:id="401" w:name="_Toc3357"/>
            <w:bookmarkStart w:id="402" w:name="_Toc18318"/>
            <w:bookmarkStart w:id="403" w:name="_Toc2941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  <w:bookmarkEnd w:id="400"/>
            <w:bookmarkEnd w:id="401"/>
            <w:bookmarkEnd w:id="402"/>
            <w:bookmarkEnd w:id="40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04" w:name="_Toc20684"/>
            <w:bookmarkEnd w:id="404"/>
            <w:bookmarkStart w:id="405" w:name="_Toc23196"/>
            <w:bookmarkEnd w:id="405"/>
            <w:bookmarkStart w:id="406" w:name="_Toc28194"/>
            <w:bookmarkEnd w:id="406"/>
            <w:bookmarkStart w:id="407" w:name="_Toc4336"/>
            <w:bookmarkEnd w:id="407"/>
            <w:bookmarkStart w:id="408" w:name="_Toc18282"/>
            <w:bookmarkEnd w:id="408"/>
            <w:bookmarkStart w:id="409" w:name="_Toc11917"/>
            <w:bookmarkEnd w:id="40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增设1个普惠性托育点。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10" w:name="_Toc9359"/>
            <w:bookmarkStart w:id="411" w:name="_Toc24142"/>
            <w:bookmarkStart w:id="412" w:name="_Toc28141"/>
            <w:bookmarkStart w:id="413" w:name="_Toc2772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  <w:bookmarkEnd w:id="410"/>
            <w:bookmarkEnd w:id="411"/>
            <w:bookmarkEnd w:id="412"/>
            <w:bookmarkEnd w:id="41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拓展托育服务资源供给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14" w:name="_Toc11647"/>
            <w:bookmarkEnd w:id="414"/>
            <w:bookmarkStart w:id="415" w:name="_Toc13242"/>
            <w:bookmarkEnd w:id="415"/>
            <w:bookmarkStart w:id="416" w:name="_Toc3171"/>
            <w:bookmarkEnd w:id="416"/>
            <w:bookmarkStart w:id="417" w:name="_Toc23509"/>
            <w:bookmarkEnd w:id="417"/>
            <w:bookmarkStart w:id="418" w:name="_Toc27861"/>
            <w:bookmarkEnd w:id="418"/>
            <w:bookmarkStart w:id="419" w:name="_Toc12236"/>
            <w:bookmarkEnd w:id="41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以街镇为规划单元，开展社区“宝宝屋”布局与建设试点。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20" w:name="_Toc29562"/>
            <w:bookmarkStart w:id="421" w:name="_Toc25108"/>
            <w:bookmarkStart w:id="422" w:name="_Toc10584"/>
            <w:bookmarkStart w:id="423" w:name="_Toc16504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  <w:bookmarkEnd w:id="420"/>
            <w:bookmarkEnd w:id="421"/>
            <w:bookmarkEnd w:id="422"/>
            <w:bookmarkEnd w:id="42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提升教育办学水平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24" w:name="_Toc22527"/>
            <w:bookmarkEnd w:id="424"/>
            <w:bookmarkStart w:id="425" w:name="_Toc25965"/>
            <w:bookmarkEnd w:id="425"/>
            <w:bookmarkStart w:id="426" w:name="_Toc11872"/>
            <w:bookmarkEnd w:id="426"/>
            <w:bookmarkStart w:id="427" w:name="_Toc19062"/>
            <w:bookmarkEnd w:id="427"/>
            <w:bookmarkStart w:id="428" w:name="_Toc23741"/>
            <w:bookmarkEnd w:id="428"/>
            <w:bookmarkStart w:id="429" w:name="_Toc8530"/>
            <w:bookmarkEnd w:id="42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完成风清幼儿园建设。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30" w:name="_Toc19877"/>
            <w:bookmarkStart w:id="431" w:name="_Toc32332"/>
            <w:bookmarkStart w:id="432" w:name="_Toc26046"/>
            <w:bookmarkStart w:id="433" w:name="_Toc1719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  <w:bookmarkEnd w:id="430"/>
            <w:bookmarkEnd w:id="431"/>
            <w:bookmarkEnd w:id="432"/>
            <w:bookmarkEnd w:id="43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34" w:name="_Toc19041"/>
            <w:bookmarkEnd w:id="434"/>
            <w:bookmarkStart w:id="435" w:name="_Toc19422"/>
            <w:bookmarkEnd w:id="435"/>
            <w:bookmarkStart w:id="436" w:name="_Toc13927"/>
            <w:bookmarkEnd w:id="436"/>
            <w:bookmarkStart w:id="437" w:name="_Toc18001"/>
            <w:bookmarkEnd w:id="437"/>
            <w:bookmarkStart w:id="438" w:name="_Toc12829"/>
            <w:bookmarkEnd w:id="438"/>
            <w:bookmarkStart w:id="439" w:name="_Toc2519"/>
            <w:bookmarkEnd w:id="43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开工建设生态社区一贯制学校。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40" w:name="_Toc29557"/>
            <w:bookmarkStart w:id="441" w:name="_Toc24536"/>
            <w:bookmarkStart w:id="442" w:name="_Toc30755"/>
            <w:bookmarkStart w:id="443" w:name="_Toc20625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Ⅲ</w:t>
            </w:r>
            <w:bookmarkEnd w:id="440"/>
            <w:bookmarkEnd w:id="441"/>
            <w:bookmarkEnd w:id="442"/>
            <w:bookmarkEnd w:id="44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44" w:name="_Toc21058"/>
            <w:bookmarkEnd w:id="444"/>
            <w:bookmarkStart w:id="445" w:name="_Toc27856"/>
            <w:bookmarkEnd w:id="445"/>
            <w:bookmarkStart w:id="446" w:name="_Toc17396"/>
            <w:bookmarkEnd w:id="446"/>
            <w:bookmarkStart w:id="447" w:name="_Toc24123"/>
            <w:bookmarkEnd w:id="447"/>
            <w:bookmarkStart w:id="448" w:name="_Toc1335"/>
            <w:bookmarkEnd w:id="448"/>
            <w:bookmarkStart w:id="449" w:name="_Toc3643"/>
            <w:bookmarkEnd w:id="44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完成上海市实验学校东滩高级中学建设。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50" w:name="_Toc19630"/>
            <w:bookmarkStart w:id="451" w:name="_Toc15670"/>
            <w:bookmarkStart w:id="452" w:name="_Toc14601"/>
            <w:bookmarkStart w:id="453" w:name="_Toc11706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  <w:bookmarkEnd w:id="450"/>
            <w:bookmarkEnd w:id="451"/>
            <w:bookmarkEnd w:id="452"/>
            <w:bookmarkEnd w:id="45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完善体育设施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优化体育场地规划布局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54" w:name="_Toc26464"/>
            <w:bookmarkEnd w:id="454"/>
            <w:bookmarkStart w:id="455" w:name="_Toc28372"/>
            <w:bookmarkEnd w:id="455"/>
            <w:bookmarkStart w:id="456" w:name="_Toc11092"/>
            <w:bookmarkEnd w:id="456"/>
            <w:bookmarkStart w:id="457" w:name="_Toc22609"/>
            <w:bookmarkEnd w:id="457"/>
            <w:bookmarkStart w:id="458" w:name="_Toc14549"/>
            <w:bookmarkEnd w:id="458"/>
            <w:bookmarkStart w:id="459" w:name="_Toc7794"/>
            <w:bookmarkEnd w:id="45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完成横沙乡全民健身中心建设。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60" w:name="_Toc1018"/>
            <w:bookmarkStart w:id="461" w:name="_Toc15859"/>
            <w:bookmarkStart w:id="462" w:name="_Toc25728"/>
            <w:bookmarkStart w:id="463" w:name="_Toc30205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  <w:bookmarkEnd w:id="460"/>
            <w:bookmarkEnd w:id="461"/>
            <w:bookmarkEnd w:id="462"/>
            <w:bookmarkEnd w:id="46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64" w:name="_Toc9993"/>
            <w:bookmarkEnd w:id="464"/>
            <w:bookmarkStart w:id="465" w:name="_Toc502"/>
            <w:bookmarkEnd w:id="465"/>
            <w:bookmarkStart w:id="466" w:name="_Toc8325"/>
            <w:bookmarkEnd w:id="466"/>
            <w:bookmarkStart w:id="467" w:name="_Toc15889"/>
            <w:bookmarkEnd w:id="467"/>
            <w:bookmarkStart w:id="468" w:name="_Toc30144"/>
            <w:bookmarkEnd w:id="468"/>
            <w:bookmarkStart w:id="469" w:name="_Toc30233"/>
            <w:bookmarkEnd w:id="46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积极推进15分钟体育生活圈。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70" w:name="_Toc1949"/>
            <w:bookmarkStart w:id="471" w:name="_Toc24073"/>
            <w:bookmarkStart w:id="472" w:name="_Toc5124"/>
            <w:bookmarkStart w:id="473" w:name="_Toc244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  <w:bookmarkEnd w:id="470"/>
            <w:bookmarkEnd w:id="471"/>
            <w:bookmarkEnd w:id="472"/>
            <w:bookmarkEnd w:id="47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区体育局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474" w:name="_Toc25531"/>
            <w:bookmarkEnd w:id="474"/>
            <w:bookmarkStart w:id="475" w:name="_Toc14342"/>
            <w:bookmarkEnd w:id="475"/>
            <w:bookmarkStart w:id="476" w:name="_Toc30023"/>
            <w:bookmarkEnd w:id="476"/>
            <w:bookmarkStart w:id="477" w:name="_Toc9298"/>
            <w:bookmarkEnd w:id="477"/>
            <w:bookmarkStart w:id="478" w:name="_Toc7009"/>
            <w:bookmarkEnd w:id="478"/>
            <w:bookmarkStart w:id="479" w:name="_Toc23692"/>
            <w:bookmarkEnd w:id="479"/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新建长兴镇、新河镇、西沙地区（包括三星、新村、新海地区）社区市民健身中心。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80" w:name="_Toc21345"/>
            <w:bookmarkStart w:id="481" w:name="_Toc14479"/>
            <w:bookmarkStart w:id="482" w:name="_Toc1561"/>
            <w:bookmarkStart w:id="483" w:name="_Toc20118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  <w:bookmarkEnd w:id="480"/>
            <w:bookmarkEnd w:id="481"/>
            <w:bookmarkEnd w:id="482"/>
            <w:bookmarkEnd w:id="48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区体育局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提高社区医疗建设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推动医疗卫生水平提升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开工建设社区卫生服务中心标准化改造。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84" w:name="_Toc20354"/>
            <w:bookmarkStart w:id="485" w:name="_Toc25819"/>
            <w:bookmarkStart w:id="486" w:name="_Toc3390"/>
            <w:bookmarkStart w:id="487" w:name="_Toc22205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  <w:bookmarkEnd w:id="484"/>
            <w:bookmarkEnd w:id="485"/>
            <w:bookmarkEnd w:id="486"/>
            <w:bookmarkEnd w:id="487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区卫健委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完成新华医院崇明分院改建工程建设。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88" w:name="_Toc8361"/>
            <w:bookmarkStart w:id="489" w:name="_Toc10331"/>
            <w:bookmarkStart w:id="490" w:name="_Toc13778"/>
            <w:bookmarkStart w:id="491" w:name="_Toc1886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  <w:bookmarkEnd w:id="488"/>
            <w:bookmarkEnd w:id="489"/>
            <w:bookmarkEnd w:id="490"/>
            <w:bookmarkEnd w:id="491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区卫健委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提高城区韧性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公共消防基础设施建设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完成区消防救援支队机关、江帆站、堡镇站、陈家镇站、后保站老旧营房维修改造。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92" w:name="_Toc30655"/>
            <w:bookmarkStart w:id="493" w:name="_Toc14951"/>
            <w:bookmarkStart w:id="494" w:name="_Toc24030"/>
            <w:bookmarkStart w:id="495" w:name="_Toc2013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  <w:bookmarkEnd w:id="492"/>
            <w:bookmarkEnd w:id="493"/>
            <w:bookmarkEnd w:id="494"/>
            <w:bookmarkEnd w:id="495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区消防救援支队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完善应急避难场所建设工作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编制崇明区应急避难场所建设总体规划、五年实施方案和分年度计划，力争到2025年底，基本实现应急避难场所主要城区覆盖。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496" w:name="_Toc15910"/>
            <w:bookmarkStart w:id="497" w:name="_Toc25099"/>
            <w:bookmarkStart w:id="498" w:name="_Toc24039"/>
            <w:bookmarkStart w:id="499" w:name="_Toc2806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  <w:bookmarkEnd w:id="496"/>
            <w:bookmarkEnd w:id="497"/>
            <w:bookmarkEnd w:id="498"/>
            <w:bookmarkEnd w:id="499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减少居民用户端潜在事故风险</w:t>
            </w:r>
          </w:p>
        </w:tc>
        <w:tc>
          <w:tcPr>
            <w:tcW w:w="2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既有管道天然气居民用户更换燃具连接软管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至2023年9月底完成3429户既有管道天然气居民用户燃具连接软管（含附件）以旧换新的更换工作，至2023年12月底，累计完成4673套管道天然气既有居民用户的燃具连接软管（含附件）的更换工作。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至2024年年底，完成7407户，累计完成7407套管道天然气居民用户的燃具连接软管（含附件）的更换工作。对总体工作开展评估，总结经验，建立长效机制。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1"/>
              <w:rPr>
                <w:rFonts w:ascii="仿宋_GB2312" w:hAnsi="仿宋_GB2312" w:eastAsia="仿宋_GB2312" w:cs="仿宋_GB2312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500" w:name="_Toc19156"/>
            <w:bookmarkStart w:id="501" w:name="_Toc24373"/>
            <w:bookmarkStart w:id="502" w:name="_Toc1585"/>
            <w:bookmarkStart w:id="503" w:name="_Toc10664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Ⅲ</w:t>
            </w:r>
            <w:bookmarkEnd w:id="500"/>
            <w:bookmarkEnd w:id="501"/>
            <w:bookmarkEnd w:id="502"/>
            <w:bookmarkEnd w:id="503"/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提高人居环境</w:t>
            </w: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继续有序推进各类旧住房更新改造工作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加快推进城桥镇利民村（西）“城中村”改造工作，稳步推进国有土地上房屋征收工作。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督促有关乡镇形成“城中村”一村一档成果,完善本区“城中村”项目储备库。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全力推进2022年结转的直管公房、系统公房改造。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加快推进不成套职工住宅及小梁薄板房屋改造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新一轮“美丽家园”建设，有序、安全实施明珠花苑综合整治工程。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既有多层住宅加装电梯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完成35台既有多层住宅加装电梯。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住宅小区新增电动自行车集中充电设施建设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14个住宅小区新增电动自行车集中充电设施建设，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为20个既有电动自行车棚（库）加装消防设施。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区住房保障房屋管理局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完善水资源化利用建设工程</w:t>
            </w: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污水处理有效提升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完成堡镇污水处理厂扩建工程建设。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完成新河污水处理厂扩建工程建设。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提高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雨水调蓄功能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开工建设官山东泵站工程。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完成堡镇初期雨水调蓄工程主体建设。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完成新梅路初期雨水调蓄工程主体建设。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加快水利项目建设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完成四滧港河道综合治理工程建设。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完成界河（北横引河-界河北闸）河道整治工程建设。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开工建设太平竖河（南大堤一盘船洪）河道整治工程。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提升生态治理效能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固废资源化利用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完成长兴镇固体废弃物资源化利用中心建设。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区绿化市容局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完成堡镇垃圾分拣中转站工程建设。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区绿化市容局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推进庙镇垃圾分拣中转站项目建设。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区绿化市容局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推进崇明湿垃圾处置中心项目建设。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区绿化市容局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推进乡村振兴建设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完成15个区级乡村振兴示范村建设。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区农村农业委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公园建设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新建改建5个口袋公园。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区绿化市容局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低碳化改造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完成2个生态市集改造。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区绿化市容局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推动建筑领域全生命周期绿色低碳转型</w:t>
            </w: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推进生态城区建设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生态城区试点区域建设推进机制，完成陈家镇试点区域绿色生态城区的申报工作。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建筑节能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逐步推广超低能耗建筑，探索超低能耗建筑向标准化、规模化、系列化方向发展。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提升建设管理水平</w:t>
            </w: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加快“智慧工地”试点项目推进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加快崇明区城桥镇第五敬老院新建工程项目“智慧工地”建设。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推进海绵城市建设工作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加强海绵城市建设的源头管理，将海绵城市建设指标要求纳入土地出让条件，确保海绵城市建设控制指标的落地。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区建设管理委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可再生能源装机量不断提升</w:t>
            </w: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推进分布式能源建设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重点依托公共机构、工商业建筑屋顶、产业园区等基础设施，实施分布式光伏发电工程。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区发展改革委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推进中兴镇100兆瓦、陈家镇立新村100兆瓦、华电绿华镇华星村81兆瓦等渔光互补项目建设。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区发展改革委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推进风电场项目前期工作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推进崇明新村风电场、龙源北堡二期风电场土地利用前期工作。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区发展改革委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完善交通基础设施</w:t>
            </w: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道路工程建设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完成崇明生态岛环岛防汛提标二期建设。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完成明南西路（规划二路-鼓浪屿路）工程建设。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公共交通完善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扩大公交覆盖面。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根据公交行业营运生产实际需要，更新购置新能源公交车。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静态交通规划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依托停车规划，通过多方面综合举措（内部挖潜、错峰共享、道路停车、新建（配建或局部拆建）等方式），缓解重点区域停车难。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加强文化资源配送</w:t>
            </w: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文化活动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开展文化配送下乡工程，配送文艺演出182场，文化讲座50场，艺术导赏40场，展览展示20场，特色活动20场，文化微游12场。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区文化旅游局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加强数字化城区发展</w:t>
            </w: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推进“数字社区”建设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以陈家镇为试点，部署车辆卡口系统、高清抓拍探头、“刷脸”通行系统等，打造以科技为支撑的“防盗网”，提高社区居民的安全感和幸福感。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推进“数字公共交通”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建设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强化公交巴士、轮渡智能化运营调度、配套设施协同高效管理，构建水陆协同立体交通体系。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Ⅱ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区交通委</w:t>
            </w:r>
          </w:p>
        </w:tc>
      </w:tr>
    </w:tbl>
    <w:p>
      <w:pPr>
        <w:pStyle w:val="32"/>
        <w:spacing w:beforeAutospacing="0" w:afterAutospacing="0" w:line="360" w:lineRule="auto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注：按照“Ⅲ-Ⅱ-Ⅰ”标准设定各类治理清单的优先级</w:t>
      </w:r>
    </w:p>
    <w:p>
      <w:pPr>
        <w:pStyle w:val="32"/>
        <w:spacing w:beforeAutospacing="0" w:afterAutospacing="0" w:line="360" w:lineRule="auto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Ⅲ级是较为紧迫的工作，需要近期加快推进；</w:t>
      </w:r>
    </w:p>
    <w:p>
      <w:pPr>
        <w:pStyle w:val="32"/>
        <w:spacing w:beforeAutospacing="0" w:afterAutospacing="0" w:line="360" w:lineRule="auto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Ⅱ级是治理需要一定时间或需要持续投入的工作，需要拟定中期整治行动计划；</w:t>
      </w:r>
    </w:p>
    <w:p>
      <w:pPr>
        <w:pStyle w:val="32"/>
        <w:spacing w:beforeAutospacing="0" w:afterAutospacing="0" w:line="360" w:lineRule="auto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Ⅰ级为一般性问题或城市发展中的局部性问题，需要拟定长期整治计划分步解决。</w:t>
      </w:r>
    </w:p>
    <w:p>
      <w:pPr>
        <w:pStyle w:val="31"/>
        <w:spacing w:line="560" w:lineRule="exact"/>
        <w:ind w:firstLine="560" w:firstLineChars="200"/>
        <w:rPr>
          <w:rStyle w:val="43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7402176"/>
    </w:sdtPr>
    <w:sdtContent>
      <w:p>
        <w:pPr>
          <w:pStyle w:val="2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729458"/>
    <w:multiLevelType w:val="multilevel"/>
    <w:tmpl w:val="D5729458"/>
    <w:lvl w:ilvl="0" w:tentative="0">
      <w:start w:val="1"/>
      <w:numFmt w:val="decimal"/>
      <w:pStyle w:val="90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139C9558"/>
    <w:multiLevelType w:val="singleLevel"/>
    <w:tmpl w:val="139C9558"/>
    <w:lvl w:ilvl="0" w:tentative="0">
      <w:start w:val="1"/>
      <w:numFmt w:val="bullet"/>
      <w:pStyle w:val="83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C5C71B7"/>
    <w:multiLevelType w:val="singleLevel"/>
    <w:tmpl w:val="2C5C71B7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3">
    <w:nsid w:val="44751FDB"/>
    <w:multiLevelType w:val="singleLevel"/>
    <w:tmpl w:val="44751FDB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4">
    <w:nsid w:val="5734FF9A"/>
    <w:multiLevelType w:val="singleLevel"/>
    <w:tmpl w:val="5734FF9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">
    <w:nsid w:val="65566BB0"/>
    <w:multiLevelType w:val="multilevel"/>
    <w:tmpl w:val="65566BB0"/>
    <w:lvl w:ilvl="0" w:tentative="0">
      <w:start w:val="1"/>
      <w:numFmt w:val="decimal"/>
      <w:pStyle w:val="7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72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pStyle w:val="75"/>
      <w:lvlText w:val="%1.%2.%3."/>
      <w:lvlJc w:val="left"/>
      <w:pPr>
        <w:ind w:left="7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62"/>
    <w:rsid w:val="000725C7"/>
    <w:rsid w:val="00087862"/>
    <w:rsid w:val="00115B52"/>
    <w:rsid w:val="00597CD6"/>
    <w:rsid w:val="006C1971"/>
    <w:rsid w:val="007A679A"/>
    <w:rsid w:val="009F5A34"/>
    <w:rsid w:val="00A67479"/>
    <w:rsid w:val="00AF0E77"/>
    <w:rsid w:val="00B52009"/>
    <w:rsid w:val="00B956E1"/>
    <w:rsid w:val="00C03091"/>
    <w:rsid w:val="00F209D3"/>
    <w:rsid w:val="05EE0F22"/>
    <w:rsid w:val="09040A19"/>
    <w:rsid w:val="0BD755EC"/>
    <w:rsid w:val="116933B9"/>
    <w:rsid w:val="14A74F3B"/>
    <w:rsid w:val="2282466D"/>
    <w:rsid w:val="2AE85077"/>
    <w:rsid w:val="385262A7"/>
    <w:rsid w:val="41D57CCF"/>
    <w:rsid w:val="4DDD61B9"/>
    <w:rsid w:val="581C076F"/>
    <w:rsid w:val="5E851D94"/>
    <w:rsid w:val="64A207A9"/>
    <w:rsid w:val="79AD5E8C"/>
    <w:rsid w:val="7CA9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link w:val="44"/>
    <w:qFormat/>
    <w:uiPriority w:val="9"/>
    <w:pPr>
      <w:widowControl w:val="0"/>
      <w:snapToGrid w:val="0"/>
      <w:spacing w:line="600" w:lineRule="atLeast"/>
      <w:ind w:firstLine="626" w:firstLineChars="200"/>
      <w:jc w:val="both"/>
      <w:outlineLvl w:val="0"/>
    </w:pPr>
    <w:rPr>
      <w:rFonts w:ascii="Times New Roman" w:hAnsi="Times New Roman" w:eastAsia="黑体" w:cs="Times New Roman"/>
      <w:b/>
      <w:spacing w:val="6"/>
      <w:kern w:val="2"/>
      <w:sz w:val="30"/>
      <w:szCs w:val="30"/>
      <w:lang w:val="en-US" w:eastAsia="zh-CN" w:bidi="ar-SA"/>
    </w:rPr>
  </w:style>
  <w:style w:type="paragraph" w:styleId="5">
    <w:name w:val="heading 2"/>
    <w:basedOn w:val="1"/>
    <w:next w:val="1"/>
    <w:link w:val="4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47"/>
    <w:unhideWhenUsed/>
    <w:qFormat/>
    <w:uiPriority w:val="9"/>
    <w:pPr>
      <w:keepNext/>
      <w:keepLines/>
      <w:snapToGrid w:val="0"/>
      <w:spacing w:before="260" w:after="260" w:line="413" w:lineRule="auto"/>
      <w:ind w:firstLine="400"/>
      <w:outlineLvl w:val="2"/>
    </w:pPr>
    <w:rPr>
      <w:rFonts w:eastAsia="宋体"/>
      <w:b/>
      <w:szCs w:val="22"/>
    </w:rPr>
  </w:style>
  <w:style w:type="paragraph" w:styleId="7">
    <w:name w:val="heading 4"/>
    <w:basedOn w:val="1"/>
    <w:next w:val="1"/>
    <w:link w:val="48"/>
    <w:unhideWhenUsed/>
    <w:qFormat/>
    <w:uiPriority w:val="9"/>
    <w:pPr>
      <w:keepNext/>
      <w:keepLines/>
      <w:snapToGrid w:val="0"/>
      <w:spacing w:before="280" w:after="290" w:line="372" w:lineRule="auto"/>
      <w:ind w:firstLine="402"/>
      <w:outlineLvl w:val="3"/>
    </w:pPr>
    <w:rPr>
      <w:rFonts w:ascii="Arial" w:hAnsi="Arial" w:eastAsia="黑体"/>
      <w:b/>
      <w:sz w:val="28"/>
      <w:szCs w:val="22"/>
    </w:rPr>
  </w:style>
  <w:style w:type="paragraph" w:styleId="8">
    <w:name w:val="heading 5"/>
    <w:basedOn w:val="1"/>
    <w:next w:val="1"/>
    <w:link w:val="49"/>
    <w:semiHidden/>
    <w:unhideWhenUsed/>
    <w:qFormat/>
    <w:uiPriority w:val="0"/>
    <w:pPr>
      <w:keepNext/>
      <w:keepLines/>
      <w:snapToGrid w:val="0"/>
      <w:spacing w:before="280" w:after="290" w:line="372" w:lineRule="auto"/>
      <w:ind w:firstLine="402"/>
      <w:outlineLvl w:val="4"/>
    </w:pPr>
    <w:rPr>
      <w:rFonts w:eastAsia="宋体"/>
      <w:b/>
      <w:sz w:val="28"/>
      <w:szCs w:val="22"/>
    </w:rPr>
  </w:style>
  <w:style w:type="paragraph" w:styleId="9">
    <w:name w:val="heading 6"/>
    <w:basedOn w:val="1"/>
    <w:next w:val="1"/>
    <w:link w:val="50"/>
    <w:semiHidden/>
    <w:unhideWhenUsed/>
    <w:qFormat/>
    <w:uiPriority w:val="0"/>
    <w:pPr>
      <w:keepNext/>
      <w:keepLines/>
      <w:snapToGrid w:val="0"/>
      <w:spacing w:before="240" w:after="64" w:line="317" w:lineRule="auto"/>
      <w:ind w:firstLine="402"/>
      <w:outlineLvl w:val="5"/>
    </w:pPr>
    <w:rPr>
      <w:rFonts w:ascii="Arial" w:hAnsi="Arial" w:eastAsia="黑体"/>
      <w:b/>
      <w:sz w:val="24"/>
      <w:szCs w:val="22"/>
    </w:rPr>
  </w:style>
  <w:style w:type="paragraph" w:styleId="10">
    <w:name w:val="heading 7"/>
    <w:basedOn w:val="1"/>
    <w:next w:val="1"/>
    <w:link w:val="51"/>
    <w:semiHidden/>
    <w:unhideWhenUsed/>
    <w:qFormat/>
    <w:uiPriority w:val="0"/>
    <w:pPr>
      <w:keepNext/>
      <w:keepLines/>
      <w:snapToGrid w:val="0"/>
      <w:spacing w:before="240" w:after="64" w:line="317" w:lineRule="auto"/>
      <w:ind w:firstLine="402"/>
      <w:outlineLvl w:val="6"/>
    </w:pPr>
    <w:rPr>
      <w:rFonts w:eastAsia="宋体"/>
      <w:b/>
      <w:sz w:val="24"/>
      <w:szCs w:val="22"/>
    </w:rPr>
  </w:style>
  <w:style w:type="paragraph" w:styleId="11">
    <w:name w:val="heading 8"/>
    <w:basedOn w:val="1"/>
    <w:next w:val="1"/>
    <w:link w:val="52"/>
    <w:semiHidden/>
    <w:unhideWhenUsed/>
    <w:qFormat/>
    <w:uiPriority w:val="0"/>
    <w:pPr>
      <w:keepNext/>
      <w:keepLines/>
      <w:snapToGrid w:val="0"/>
      <w:spacing w:before="240" w:after="64" w:line="317" w:lineRule="auto"/>
      <w:ind w:firstLine="402"/>
      <w:outlineLvl w:val="7"/>
    </w:pPr>
    <w:rPr>
      <w:rFonts w:ascii="Arial" w:hAnsi="Arial" w:eastAsia="黑体"/>
      <w:sz w:val="24"/>
      <w:szCs w:val="22"/>
    </w:rPr>
  </w:style>
  <w:style w:type="paragraph" w:styleId="12">
    <w:name w:val="heading 9"/>
    <w:basedOn w:val="1"/>
    <w:next w:val="1"/>
    <w:link w:val="53"/>
    <w:semiHidden/>
    <w:unhideWhenUsed/>
    <w:qFormat/>
    <w:uiPriority w:val="0"/>
    <w:pPr>
      <w:keepNext/>
      <w:keepLines/>
      <w:snapToGrid w:val="0"/>
      <w:spacing w:before="240" w:after="64" w:line="317" w:lineRule="auto"/>
      <w:ind w:firstLine="402"/>
      <w:outlineLvl w:val="8"/>
    </w:pPr>
    <w:rPr>
      <w:rFonts w:ascii="Arial" w:hAnsi="Arial" w:eastAsia="黑体"/>
      <w:sz w:val="21"/>
      <w:szCs w:val="22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/>
      <w:sz w:val="21"/>
      <w:szCs w:val="22"/>
    </w:rPr>
  </w:style>
  <w:style w:type="paragraph" w:styleId="13">
    <w:name w:val="annotation subject"/>
    <w:basedOn w:val="14"/>
    <w:next w:val="14"/>
    <w:link w:val="63"/>
    <w:qFormat/>
    <w:uiPriority w:val="0"/>
    <w:rPr>
      <w:b/>
      <w:bCs/>
    </w:rPr>
  </w:style>
  <w:style w:type="paragraph" w:styleId="14">
    <w:name w:val="annotation text"/>
    <w:basedOn w:val="1"/>
    <w:link w:val="54"/>
    <w:qFormat/>
    <w:uiPriority w:val="0"/>
    <w:pPr>
      <w:spacing w:line="520" w:lineRule="exact"/>
      <w:ind w:firstLine="200" w:firstLineChars="200"/>
      <w:jc w:val="left"/>
    </w:pPr>
    <w:rPr>
      <w:rFonts w:ascii="仿宋_GB2312" w:hAnsi="仿宋_GB2312" w:eastAsia="仿宋_GB2312"/>
      <w:sz w:val="28"/>
      <w:szCs w:val="22"/>
    </w:rPr>
  </w:style>
  <w:style w:type="paragraph" w:styleId="15">
    <w:name w:val="toc 7"/>
    <w:basedOn w:val="1"/>
    <w:next w:val="1"/>
    <w:unhideWhenUsed/>
    <w:qFormat/>
    <w:uiPriority w:val="39"/>
    <w:pPr>
      <w:ind w:left="2520" w:leftChars="1200"/>
    </w:pPr>
    <w:rPr>
      <w:rFonts w:ascii="等线" w:hAnsi="等线" w:eastAsia="等线"/>
      <w:sz w:val="21"/>
      <w:szCs w:val="22"/>
    </w:rPr>
  </w:style>
  <w:style w:type="paragraph" w:styleId="16">
    <w:name w:val="caption"/>
    <w:basedOn w:val="1"/>
    <w:next w:val="1"/>
    <w:unhideWhenUsed/>
    <w:qFormat/>
    <w:uiPriority w:val="35"/>
    <w:pPr>
      <w:spacing w:line="520" w:lineRule="exact"/>
      <w:jc w:val="center"/>
    </w:pPr>
    <w:rPr>
      <w:rFonts w:ascii="仿宋_GB2312" w:hAnsi="仿宋_GB2312" w:eastAsia="仿宋_GB2312"/>
      <w:sz w:val="28"/>
      <w:szCs w:val="22"/>
    </w:rPr>
  </w:style>
  <w:style w:type="paragraph" w:styleId="17">
    <w:name w:val="Body Text Indent"/>
    <w:basedOn w:val="1"/>
    <w:next w:val="18"/>
    <w:link w:val="55"/>
    <w:unhideWhenUsed/>
    <w:qFormat/>
    <w:uiPriority w:val="0"/>
    <w:pPr>
      <w:spacing w:after="120"/>
      <w:ind w:left="420" w:leftChars="200"/>
    </w:pPr>
    <w:rPr>
      <w:rFonts w:eastAsia="宋体"/>
      <w:sz w:val="21"/>
      <w:szCs w:val="22"/>
    </w:rPr>
  </w:style>
  <w:style w:type="paragraph" w:styleId="18">
    <w:name w:val="header"/>
    <w:basedOn w:val="1"/>
    <w:link w:val="5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9">
    <w:name w:val="toc 3"/>
    <w:basedOn w:val="1"/>
    <w:next w:val="1"/>
    <w:unhideWhenUsed/>
    <w:qFormat/>
    <w:uiPriority w:val="39"/>
    <w:pPr>
      <w:ind w:left="840" w:leftChars="400"/>
    </w:pPr>
    <w:rPr>
      <w:rFonts w:eastAsia="宋体"/>
      <w:sz w:val="21"/>
      <w:szCs w:val="22"/>
    </w:rPr>
  </w:style>
  <w:style w:type="paragraph" w:styleId="20">
    <w:name w:val="toc 8"/>
    <w:basedOn w:val="1"/>
    <w:next w:val="1"/>
    <w:unhideWhenUsed/>
    <w:qFormat/>
    <w:uiPriority w:val="39"/>
    <w:pPr>
      <w:ind w:left="2940" w:leftChars="1400"/>
    </w:pPr>
    <w:rPr>
      <w:rFonts w:ascii="等线" w:hAnsi="等线" w:eastAsia="等线"/>
      <w:sz w:val="21"/>
      <w:szCs w:val="22"/>
    </w:rPr>
  </w:style>
  <w:style w:type="paragraph" w:styleId="21">
    <w:name w:val="Body Text Indent 2"/>
    <w:basedOn w:val="1"/>
    <w:link w:val="57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2"/>
    </w:rPr>
  </w:style>
  <w:style w:type="paragraph" w:styleId="22">
    <w:name w:val="Balloon Text"/>
    <w:basedOn w:val="1"/>
    <w:link w:val="58"/>
    <w:unhideWhenUsed/>
    <w:qFormat/>
    <w:uiPriority w:val="0"/>
    <w:rPr>
      <w:rFonts w:eastAsia="宋体"/>
      <w:sz w:val="18"/>
      <w:szCs w:val="18"/>
    </w:rPr>
  </w:style>
  <w:style w:type="paragraph" w:styleId="23">
    <w:name w:val="footer"/>
    <w:basedOn w:val="1"/>
    <w:next w:val="1"/>
    <w:link w:val="5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24">
    <w:name w:val="Body Text First Indent 2"/>
    <w:basedOn w:val="17"/>
    <w:next w:val="1"/>
    <w:link w:val="61"/>
    <w:qFormat/>
    <w:uiPriority w:val="0"/>
    <w:pPr>
      <w:spacing w:line="520" w:lineRule="exact"/>
      <w:ind w:firstLine="420" w:firstLineChars="200"/>
    </w:pPr>
    <w:rPr>
      <w:rFonts w:ascii="仿宋_GB2312" w:hAnsi="仿宋_GB2312" w:eastAsia="仿宋_GB2312"/>
      <w:sz w:val="28"/>
    </w:rPr>
  </w:style>
  <w:style w:type="paragraph" w:styleId="25">
    <w:name w:val="toc 1"/>
    <w:basedOn w:val="1"/>
    <w:next w:val="1"/>
    <w:unhideWhenUsed/>
    <w:qFormat/>
    <w:uiPriority w:val="39"/>
    <w:pPr>
      <w:tabs>
        <w:tab w:val="left" w:pos="420"/>
        <w:tab w:val="right" w:leader="dot" w:pos="8296"/>
      </w:tabs>
    </w:pPr>
    <w:rPr>
      <w:rFonts w:eastAsia="宋体"/>
      <w:b/>
      <w:sz w:val="24"/>
      <w:szCs w:val="22"/>
    </w:rPr>
  </w:style>
  <w:style w:type="paragraph" w:styleId="26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/>
      <w:sz w:val="21"/>
      <w:szCs w:val="22"/>
    </w:rPr>
  </w:style>
  <w:style w:type="paragraph" w:styleId="27">
    <w:name w:val="footnote text"/>
    <w:basedOn w:val="1"/>
    <w:link w:val="60"/>
    <w:qFormat/>
    <w:uiPriority w:val="0"/>
    <w:pPr>
      <w:snapToGrid w:val="0"/>
      <w:spacing w:line="520" w:lineRule="exact"/>
      <w:ind w:firstLine="200" w:firstLineChars="200"/>
      <w:jc w:val="left"/>
    </w:pPr>
    <w:rPr>
      <w:rFonts w:ascii="仿宋_GB2312" w:hAnsi="仿宋_GB2312" w:eastAsia="仿宋_GB2312"/>
      <w:sz w:val="18"/>
      <w:szCs w:val="22"/>
    </w:rPr>
  </w:style>
  <w:style w:type="paragraph" w:styleId="28">
    <w:name w:val="toc 6"/>
    <w:basedOn w:val="1"/>
    <w:next w:val="1"/>
    <w:unhideWhenUsed/>
    <w:qFormat/>
    <w:uiPriority w:val="39"/>
    <w:pPr>
      <w:ind w:left="2100" w:leftChars="1000"/>
    </w:pPr>
    <w:rPr>
      <w:rFonts w:ascii="等线" w:hAnsi="等线" w:eastAsia="等线"/>
      <w:sz w:val="21"/>
      <w:szCs w:val="22"/>
    </w:rPr>
  </w:style>
  <w:style w:type="paragraph" w:styleId="29">
    <w:name w:val="toc 2"/>
    <w:basedOn w:val="1"/>
    <w:next w:val="1"/>
    <w:unhideWhenUsed/>
    <w:qFormat/>
    <w:uiPriority w:val="39"/>
    <w:pPr>
      <w:ind w:left="420" w:leftChars="200"/>
    </w:pPr>
    <w:rPr>
      <w:rFonts w:eastAsia="宋体"/>
      <w:sz w:val="21"/>
      <w:szCs w:val="22"/>
    </w:rPr>
  </w:style>
  <w:style w:type="paragraph" w:styleId="30">
    <w:name w:val="toc 9"/>
    <w:basedOn w:val="1"/>
    <w:next w:val="1"/>
    <w:unhideWhenUsed/>
    <w:qFormat/>
    <w:uiPriority w:val="39"/>
    <w:pPr>
      <w:ind w:left="3360" w:leftChars="1600"/>
    </w:pPr>
    <w:rPr>
      <w:rFonts w:ascii="等线" w:hAnsi="等线" w:eastAsia="等线"/>
      <w:sz w:val="21"/>
      <w:szCs w:val="22"/>
    </w:rPr>
  </w:style>
  <w:style w:type="paragraph" w:styleId="31">
    <w:name w:val="Body Text 2"/>
    <w:basedOn w:val="1"/>
    <w:link w:val="42"/>
    <w:qFormat/>
    <w:uiPriority w:val="0"/>
    <w:pPr>
      <w:spacing w:line="620" w:lineRule="exact"/>
    </w:pPr>
    <w:rPr>
      <w:rFonts w:eastAsia="黑体"/>
      <w:szCs w:val="32"/>
    </w:rPr>
  </w:style>
  <w:style w:type="paragraph" w:styleId="3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</w:rPr>
  </w:style>
  <w:style w:type="paragraph" w:styleId="33">
    <w:name w:val="Title"/>
    <w:basedOn w:val="1"/>
    <w:next w:val="1"/>
    <w:link w:val="62"/>
    <w:qFormat/>
    <w:uiPriority w:val="0"/>
    <w:pPr>
      <w:spacing w:before="240" w:after="60" w:line="520" w:lineRule="exact"/>
      <w:ind w:firstLine="200" w:firstLineChars="200"/>
      <w:jc w:val="center"/>
      <w:outlineLvl w:val="0"/>
    </w:pPr>
    <w:rPr>
      <w:rFonts w:ascii="Calibri Light" w:hAnsi="Calibri Light" w:eastAsia="宋体"/>
      <w:b/>
      <w:bCs/>
      <w:szCs w:val="32"/>
    </w:rPr>
  </w:style>
  <w:style w:type="character" w:styleId="35">
    <w:name w:val="Strong"/>
    <w:qFormat/>
    <w:uiPriority w:val="22"/>
    <w:rPr>
      <w:b/>
    </w:rPr>
  </w:style>
  <w:style w:type="character" w:styleId="36">
    <w:name w:val="Emphasis"/>
    <w:basedOn w:val="34"/>
    <w:qFormat/>
    <w:uiPriority w:val="20"/>
    <w:rPr>
      <w:i/>
    </w:rPr>
  </w:style>
  <w:style w:type="character" w:styleId="37">
    <w:name w:val="Hyperlink"/>
    <w:unhideWhenUsed/>
    <w:qFormat/>
    <w:uiPriority w:val="99"/>
    <w:rPr>
      <w:color w:val="0563C1"/>
      <w:u w:val="single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styleId="39">
    <w:name w:val="footnote reference"/>
    <w:basedOn w:val="34"/>
    <w:qFormat/>
    <w:uiPriority w:val="0"/>
    <w:rPr>
      <w:vertAlign w:val="superscript"/>
    </w:rPr>
  </w:style>
  <w:style w:type="table" w:styleId="41">
    <w:name w:val="Table Grid"/>
    <w:basedOn w:val="40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2">
    <w:name w:val="正文文本 2 字符"/>
    <w:basedOn w:val="34"/>
    <w:link w:val="31"/>
    <w:qFormat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43">
    <w:name w:val="正文 Char"/>
    <w:qFormat/>
    <w:uiPriority w:val="0"/>
    <w:rPr>
      <w:rFonts w:ascii="Calibri" w:hAnsi="Calibri" w:eastAsia="仿宋_GB2312"/>
      <w:kern w:val="2"/>
      <w:sz w:val="28"/>
      <w:szCs w:val="28"/>
      <w:lang w:val="en-US" w:eastAsia="zh-CN" w:bidi="ar-SA"/>
    </w:rPr>
  </w:style>
  <w:style w:type="character" w:customStyle="1" w:styleId="44">
    <w:name w:val="标题 1 字符"/>
    <w:basedOn w:val="34"/>
    <w:link w:val="4"/>
    <w:qFormat/>
    <w:uiPriority w:val="9"/>
    <w:rPr>
      <w:rFonts w:ascii="Times New Roman" w:hAnsi="Times New Roman" w:eastAsia="黑体" w:cs="Times New Roman"/>
      <w:b/>
      <w:spacing w:val="6"/>
      <w:sz w:val="30"/>
      <w:szCs w:val="30"/>
    </w:rPr>
  </w:style>
  <w:style w:type="character" w:customStyle="1" w:styleId="45">
    <w:name w:val="标题 2 字符"/>
    <w:basedOn w:val="34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6">
    <w:name w:val="[基本段落]"/>
    <w:basedOn w:val="1"/>
    <w:unhideWhenUsed/>
    <w:qFormat/>
    <w:uiPriority w:val="99"/>
    <w:pPr>
      <w:autoSpaceDE w:val="0"/>
      <w:autoSpaceDN w:val="0"/>
      <w:adjustRightInd w:val="0"/>
      <w:spacing w:line="288" w:lineRule="auto"/>
      <w:ind w:firstLine="200" w:firstLineChars="200"/>
      <w:textAlignment w:val="center"/>
    </w:pPr>
    <w:rPr>
      <w:rFonts w:hint="eastAsia" w:ascii="AdobeSongStd-Light" w:hAnsi="AdobeSongStd-Light" w:eastAsia="AdobeSongStd-Light"/>
      <w:color w:val="000000"/>
      <w:kern w:val="0"/>
      <w:sz w:val="24"/>
      <w:lang w:val="zh-CN"/>
    </w:rPr>
  </w:style>
  <w:style w:type="character" w:customStyle="1" w:styleId="47">
    <w:name w:val="标题 3 字符"/>
    <w:basedOn w:val="34"/>
    <w:link w:val="6"/>
    <w:qFormat/>
    <w:uiPriority w:val="9"/>
    <w:rPr>
      <w:rFonts w:ascii="Times New Roman" w:hAnsi="Times New Roman" w:eastAsia="宋体" w:cs="Times New Roman"/>
      <w:b/>
      <w:sz w:val="32"/>
    </w:rPr>
  </w:style>
  <w:style w:type="character" w:customStyle="1" w:styleId="48">
    <w:name w:val="标题 4 字符"/>
    <w:basedOn w:val="34"/>
    <w:link w:val="7"/>
    <w:qFormat/>
    <w:uiPriority w:val="9"/>
    <w:rPr>
      <w:rFonts w:ascii="Arial" w:hAnsi="Arial" w:eastAsia="黑体" w:cs="Times New Roman"/>
      <w:b/>
      <w:sz w:val="28"/>
    </w:rPr>
  </w:style>
  <w:style w:type="character" w:customStyle="1" w:styleId="49">
    <w:name w:val="标题 5 字符"/>
    <w:basedOn w:val="34"/>
    <w:link w:val="8"/>
    <w:semiHidden/>
    <w:qFormat/>
    <w:uiPriority w:val="0"/>
    <w:rPr>
      <w:rFonts w:ascii="Times New Roman" w:hAnsi="Times New Roman" w:eastAsia="宋体" w:cs="Times New Roman"/>
      <w:b/>
      <w:sz w:val="28"/>
    </w:rPr>
  </w:style>
  <w:style w:type="character" w:customStyle="1" w:styleId="50">
    <w:name w:val="标题 6 字符"/>
    <w:basedOn w:val="34"/>
    <w:link w:val="9"/>
    <w:semiHidden/>
    <w:qFormat/>
    <w:uiPriority w:val="0"/>
    <w:rPr>
      <w:rFonts w:ascii="Arial" w:hAnsi="Arial" w:eastAsia="黑体" w:cs="Times New Roman"/>
      <w:b/>
      <w:sz w:val="24"/>
    </w:rPr>
  </w:style>
  <w:style w:type="character" w:customStyle="1" w:styleId="51">
    <w:name w:val="标题 7 字符"/>
    <w:basedOn w:val="34"/>
    <w:link w:val="10"/>
    <w:semiHidden/>
    <w:qFormat/>
    <w:uiPriority w:val="0"/>
    <w:rPr>
      <w:rFonts w:ascii="Times New Roman" w:hAnsi="Times New Roman" w:eastAsia="宋体" w:cs="Times New Roman"/>
      <w:b/>
      <w:sz w:val="24"/>
    </w:rPr>
  </w:style>
  <w:style w:type="character" w:customStyle="1" w:styleId="52">
    <w:name w:val="标题 8 字符"/>
    <w:basedOn w:val="34"/>
    <w:link w:val="11"/>
    <w:semiHidden/>
    <w:qFormat/>
    <w:uiPriority w:val="0"/>
    <w:rPr>
      <w:rFonts w:ascii="Arial" w:hAnsi="Arial" w:eastAsia="黑体" w:cs="Times New Roman"/>
      <w:sz w:val="24"/>
    </w:rPr>
  </w:style>
  <w:style w:type="character" w:customStyle="1" w:styleId="53">
    <w:name w:val="标题 9 字符"/>
    <w:basedOn w:val="34"/>
    <w:link w:val="12"/>
    <w:semiHidden/>
    <w:qFormat/>
    <w:uiPriority w:val="0"/>
    <w:rPr>
      <w:rFonts w:ascii="Arial" w:hAnsi="Arial" w:eastAsia="黑体" w:cs="Times New Roman"/>
    </w:rPr>
  </w:style>
  <w:style w:type="character" w:customStyle="1" w:styleId="54">
    <w:name w:val="批注文字 字符"/>
    <w:basedOn w:val="34"/>
    <w:link w:val="14"/>
    <w:qFormat/>
    <w:uiPriority w:val="0"/>
    <w:rPr>
      <w:rFonts w:ascii="仿宋_GB2312" w:hAnsi="仿宋_GB2312" w:eastAsia="仿宋_GB2312" w:cs="Times New Roman"/>
      <w:sz w:val="28"/>
    </w:rPr>
  </w:style>
  <w:style w:type="character" w:customStyle="1" w:styleId="55">
    <w:name w:val="正文文本缩进 字符"/>
    <w:basedOn w:val="34"/>
    <w:link w:val="17"/>
    <w:qFormat/>
    <w:uiPriority w:val="0"/>
    <w:rPr>
      <w:rFonts w:ascii="Times New Roman" w:hAnsi="Times New Roman" w:eastAsia="宋体" w:cs="Times New Roman"/>
    </w:rPr>
  </w:style>
  <w:style w:type="character" w:customStyle="1" w:styleId="56">
    <w:name w:val="页眉 字符"/>
    <w:basedOn w:val="34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7">
    <w:name w:val="正文文本缩进 2 字符"/>
    <w:basedOn w:val="34"/>
    <w:link w:val="21"/>
    <w:qFormat/>
    <w:uiPriority w:val="0"/>
    <w:rPr>
      <w:rFonts w:ascii="Times New Roman" w:hAnsi="Times New Roman" w:eastAsia="宋体" w:cs="Times New Roman"/>
    </w:rPr>
  </w:style>
  <w:style w:type="character" w:customStyle="1" w:styleId="58">
    <w:name w:val="批注框文本 字符"/>
    <w:basedOn w:val="34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页脚 字符"/>
    <w:basedOn w:val="34"/>
    <w:link w:val="2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脚注文本 字符"/>
    <w:basedOn w:val="34"/>
    <w:link w:val="27"/>
    <w:qFormat/>
    <w:uiPriority w:val="0"/>
    <w:rPr>
      <w:rFonts w:ascii="仿宋_GB2312" w:hAnsi="仿宋_GB2312" w:eastAsia="仿宋_GB2312" w:cs="Times New Roman"/>
      <w:sz w:val="18"/>
    </w:rPr>
  </w:style>
  <w:style w:type="character" w:customStyle="1" w:styleId="61">
    <w:name w:val="正文文本首行缩进 2 字符"/>
    <w:basedOn w:val="55"/>
    <w:link w:val="24"/>
    <w:qFormat/>
    <w:uiPriority w:val="0"/>
    <w:rPr>
      <w:rFonts w:ascii="仿宋_GB2312" w:hAnsi="仿宋_GB2312" w:eastAsia="仿宋_GB2312" w:cs="Times New Roman"/>
      <w:sz w:val="28"/>
    </w:rPr>
  </w:style>
  <w:style w:type="character" w:customStyle="1" w:styleId="62">
    <w:name w:val="标题 字符"/>
    <w:basedOn w:val="34"/>
    <w:link w:val="3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63">
    <w:name w:val="批注主题 字符"/>
    <w:basedOn w:val="54"/>
    <w:link w:val="13"/>
    <w:qFormat/>
    <w:uiPriority w:val="0"/>
    <w:rPr>
      <w:rFonts w:ascii="仿宋_GB2312" w:hAnsi="仿宋_GB2312" w:eastAsia="仿宋_GB2312" w:cs="Times New Roman"/>
      <w:b/>
      <w:bCs/>
      <w:sz w:val="28"/>
    </w:rPr>
  </w:style>
  <w:style w:type="paragraph" w:customStyle="1" w:styleId="64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ind w:firstLine="200" w:firstLineChars="200"/>
      <w:jc w:val="both"/>
      <w:textAlignment w:val="center"/>
    </w:pPr>
    <w:rPr>
      <w:rFonts w:hint="eastAsia" w:ascii="AdobeSongStd-Light" w:hAnsi="AdobeSongStd-Light" w:eastAsia="AdobeSongStd-Light" w:cs="Times New Roman"/>
      <w:color w:val="000000"/>
      <w:sz w:val="24"/>
      <w:szCs w:val="24"/>
      <w:lang w:val="zh-CN" w:eastAsia="zh-CN" w:bidi="ar-SA"/>
    </w:rPr>
  </w:style>
  <w:style w:type="paragraph" w:styleId="65">
    <w:name w:val="No Spacing"/>
    <w:link w:val="66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66">
    <w:name w:val="无间隔 字符"/>
    <w:link w:val="65"/>
    <w:qFormat/>
    <w:uiPriority w:val="1"/>
    <w:rPr>
      <w:rFonts w:ascii="Times New Roman" w:hAnsi="Times New Roman" w:eastAsia="宋体" w:cs="Times New Roman"/>
      <w:kern w:val="0"/>
      <w:sz w:val="22"/>
    </w:rPr>
  </w:style>
  <w:style w:type="paragraph" w:customStyle="1" w:styleId="67">
    <w:name w:val="_Style 52"/>
    <w:basedOn w:val="4"/>
    <w:next w:val="1"/>
    <w:unhideWhenUsed/>
    <w:qFormat/>
    <w:uiPriority w:val="39"/>
    <w:pPr>
      <w:keepNext/>
      <w:keepLines/>
      <w:widowControl/>
      <w:snapToGrid/>
      <w:spacing w:before="240" w:line="259" w:lineRule="auto"/>
      <w:ind w:firstLine="0" w:firstLineChars="0"/>
      <w:jc w:val="left"/>
      <w:outlineLvl w:val="9"/>
    </w:pPr>
    <w:rPr>
      <w:rFonts w:ascii="等线 Light" w:hAnsi="等线 Light" w:eastAsia="等线 Light"/>
      <w:b w:val="0"/>
      <w:color w:val="2F5496"/>
      <w:spacing w:val="0"/>
      <w:kern w:val="0"/>
      <w:sz w:val="32"/>
      <w:szCs w:val="32"/>
    </w:rPr>
  </w:style>
  <w:style w:type="paragraph" w:customStyle="1" w:styleId="68">
    <w:name w:val="正文首行缩进 21"/>
    <w:basedOn w:val="17"/>
    <w:next w:val="1"/>
    <w:qFormat/>
    <w:uiPriority w:val="0"/>
    <w:pPr>
      <w:spacing w:line="240" w:lineRule="atLeast"/>
      <w:ind w:left="0" w:leftChars="0"/>
    </w:pPr>
    <w:rPr>
      <w:rFonts w:ascii="仿宋_GB2312" w:hAnsi="仿宋_GB2312" w:eastAsia="仿宋_GB2312"/>
      <w:sz w:val="28"/>
    </w:rPr>
  </w:style>
  <w:style w:type="paragraph" w:styleId="69">
    <w:name w:val="List Paragraph"/>
    <w:basedOn w:val="1"/>
    <w:qFormat/>
    <w:uiPriority w:val="99"/>
    <w:pPr>
      <w:ind w:firstLine="420" w:firstLineChars="200"/>
    </w:pPr>
    <w:rPr>
      <w:rFonts w:eastAsia="宋体"/>
      <w:sz w:val="21"/>
      <w:szCs w:val="22"/>
    </w:rPr>
  </w:style>
  <w:style w:type="character" w:customStyle="1" w:styleId="70">
    <w:name w:val="样式1 Char"/>
    <w:link w:val="71"/>
    <w:qFormat/>
    <w:uiPriority w:val="0"/>
    <w:rPr>
      <w:rFonts w:eastAsia="微软雅黑"/>
      <w:b/>
    </w:rPr>
  </w:style>
  <w:style w:type="paragraph" w:customStyle="1" w:styleId="71">
    <w:name w:val="样式1"/>
    <w:basedOn w:val="1"/>
    <w:link w:val="70"/>
    <w:qFormat/>
    <w:uiPriority w:val="0"/>
    <w:rPr>
      <w:rFonts w:eastAsia="微软雅黑" w:asciiTheme="minorHAnsi" w:hAnsiTheme="minorHAnsi" w:cstheme="minorBidi"/>
      <w:b/>
      <w:sz w:val="21"/>
      <w:szCs w:val="22"/>
    </w:rPr>
  </w:style>
  <w:style w:type="paragraph" w:customStyle="1" w:styleId="72">
    <w:name w:val="0-1.1."/>
    <w:basedOn w:val="5"/>
    <w:link w:val="74"/>
    <w:qFormat/>
    <w:uiPriority w:val="0"/>
    <w:pPr>
      <w:numPr>
        <w:ilvl w:val="1"/>
        <w:numId w:val="1"/>
      </w:numPr>
      <w:snapToGrid w:val="0"/>
      <w:spacing w:line="413" w:lineRule="auto"/>
      <w:ind w:left="0" w:firstLine="0"/>
      <w:jc w:val="left"/>
    </w:pPr>
    <w:rPr>
      <w:rFonts w:ascii="楷体_GB2312" w:hAnsi="楷体_GB2312" w:eastAsia="仿宋" w:cs="Times New Roman"/>
      <w:bCs w:val="0"/>
      <w:szCs w:val="22"/>
    </w:rPr>
  </w:style>
  <w:style w:type="paragraph" w:customStyle="1" w:styleId="73">
    <w:name w:val="0-1."/>
    <w:basedOn w:val="4"/>
    <w:link w:val="76"/>
    <w:qFormat/>
    <w:uiPriority w:val="0"/>
    <w:pPr>
      <w:keepNext/>
      <w:keepLines/>
      <w:numPr>
        <w:ilvl w:val="0"/>
        <w:numId w:val="1"/>
      </w:numPr>
      <w:autoSpaceDE w:val="0"/>
      <w:autoSpaceDN w:val="0"/>
      <w:spacing w:line="360" w:lineRule="auto"/>
      <w:ind w:firstLine="0" w:firstLineChars="0"/>
      <w:jc w:val="left"/>
    </w:pPr>
    <w:rPr>
      <w:rFonts w:ascii="黑体" w:hAnsi="黑体" w:eastAsia="仿宋" w:cs="黑体"/>
      <w:spacing w:val="0"/>
      <w:kern w:val="44"/>
      <w:sz w:val="36"/>
      <w:szCs w:val="32"/>
    </w:rPr>
  </w:style>
  <w:style w:type="character" w:customStyle="1" w:styleId="74">
    <w:name w:val="0-1.1. 字符"/>
    <w:link w:val="72"/>
    <w:qFormat/>
    <w:uiPriority w:val="0"/>
    <w:rPr>
      <w:rFonts w:ascii="楷体_GB2312" w:hAnsi="楷体_GB2312" w:eastAsia="仿宋" w:cs="Times New Roman"/>
      <w:b/>
      <w:sz w:val="32"/>
    </w:rPr>
  </w:style>
  <w:style w:type="paragraph" w:customStyle="1" w:styleId="75">
    <w:name w:val="0-1.1.1."/>
    <w:basedOn w:val="6"/>
    <w:link w:val="77"/>
    <w:qFormat/>
    <w:uiPriority w:val="0"/>
    <w:pPr>
      <w:numPr>
        <w:ilvl w:val="2"/>
        <w:numId w:val="1"/>
      </w:numPr>
      <w:jc w:val="left"/>
    </w:pPr>
    <w:rPr>
      <w:rFonts w:ascii="楷体_GB2312" w:hAnsi="Arial" w:eastAsia="仿宋"/>
    </w:rPr>
  </w:style>
  <w:style w:type="character" w:customStyle="1" w:styleId="76">
    <w:name w:val="0-1. 字符"/>
    <w:link w:val="73"/>
    <w:qFormat/>
    <w:uiPriority w:val="0"/>
    <w:rPr>
      <w:rFonts w:ascii="黑体" w:hAnsi="黑体" w:eastAsia="仿宋" w:cs="黑体"/>
      <w:b/>
      <w:kern w:val="44"/>
      <w:sz w:val="36"/>
      <w:szCs w:val="32"/>
    </w:rPr>
  </w:style>
  <w:style w:type="character" w:customStyle="1" w:styleId="77">
    <w:name w:val="0-1.1.1. 字符"/>
    <w:link w:val="75"/>
    <w:qFormat/>
    <w:uiPriority w:val="0"/>
    <w:rPr>
      <w:rFonts w:ascii="楷体_GB2312" w:hAnsi="Arial" w:eastAsia="仿宋" w:cs="Times New Roman"/>
      <w:b/>
      <w:sz w:val="32"/>
    </w:rPr>
  </w:style>
  <w:style w:type="paragraph" w:customStyle="1" w:styleId="78">
    <w:name w:val="指标"/>
    <w:basedOn w:val="1"/>
    <w:link w:val="85"/>
    <w:qFormat/>
    <w:uiPriority w:val="0"/>
    <w:pPr>
      <w:snapToGrid w:val="0"/>
      <w:spacing w:before="120" w:line="520" w:lineRule="exact"/>
      <w:ind w:left="1701" w:firstLine="425"/>
    </w:pPr>
    <w:rPr>
      <w:rFonts w:ascii="仿宋_GB2312" w:hAnsi="仿宋_GB2312" w:eastAsia="微软雅黑"/>
      <w:b/>
      <w:sz w:val="28"/>
      <w:szCs w:val="22"/>
    </w:rPr>
  </w:style>
  <w:style w:type="paragraph" w:customStyle="1" w:styleId="79">
    <w:name w:val="样式11111"/>
    <w:basedOn w:val="1"/>
    <w:qFormat/>
    <w:uiPriority w:val="0"/>
    <w:pPr>
      <w:widowControl/>
      <w:snapToGrid w:val="0"/>
      <w:jc w:val="left"/>
    </w:pPr>
    <w:rPr>
      <w:rFonts w:ascii="仿宋_GB2312" w:hAnsi="仿宋_GB2312" w:eastAsia="华文楷体"/>
      <w:sz w:val="21"/>
      <w:szCs w:val="22"/>
    </w:rPr>
  </w:style>
  <w:style w:type="paragraph" w:customStyle="1" w:styleId="80">
    <w:name w:val="一级标题"/>
    <w:basedOn w:val="1"/>
    <w:qFormat/>
    <w:uiPriority w:val="0"/>
    <w:pPr>
      <w:spacing w:line="520" w:lineRule="exact"/>
    </w:pPr>
    <w:rPr>
      <w:rFonts w:ascii="仿宋_GB2312" w:hAnsi="仿宋_GB2312"/>
      <w:sz w:val="21"/>
      <w:szCs w:val="22"/>
    </w:rPr>
  </w:style>
  <w:style w:type="paragraph" w:customStyle="1" w:styleId="8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3">
    <w:name w:val="公式"/>
    <w:qFormat/>
    <w:uiPriority w:val="0"/>
    <w:pPr>
      <w:numPr>
        <w:ilvl w:val="0"/>
        <w:numId w:val="2"/>
      </w:numPr>
      <w:snapToGrid w:val="0"/>
      <w:spacing w:line="520" w:lineRule="exact"/>
      <w:ind w:left="0" w:firstLine="0"/>
    </w:pPr>
    <w:rPr>
      <w:rFonts w:hint="eastAsia" w:ascii="仿宋_GB2312" w:hAnsi="仿宋_GB2312" w:eastAsia="仿宋_GB2312" w:cs="仿宋_GB2312"/>
      <w:sz w:val="21"/>
      <w:szCs w:val="28"/>
      <w:lang w:val="en-US" w:eastAsia="zh-CN" w:bidi="ar-SA"/>
    </w:rPr>
  </w:style>
  <w:style w:type="character" w:styleId="84">
    <w:name w:val="Placeholder Text"/>
    <w:semiHidden/>
    <w:qFormat/>
    <w:uiPriority w:val="99"/>
    <w:rPr>
      <w:color w:val="808080"/>
    </w:rPr>
  </w:style>
  <w:style w:type="character" w:customStyle="1" w:styleId="85">
    <w:name w:val="指标 Char"/>
    <w:link w:val="78"/>
    <w:qFormat/>
    <w:uiPriority w:val="0"/>
    <w:rPr>
      <w:rFonts w:ascii="仿宋_GB2312" w:hAnsi="仿宋_GB2312" w:eastAsia="微软雅黑" w:cs="Times New Roman"/>
      <w:b/>
      <w:sz w:val="28"/>
    </w:rPr>
  </w:style>
  <w:style w:type="paragraph" w:customStyle="1" w:styleId="86">
    <w:name w:val="修订1"/>
    <w:hidden/>
    <w:semiHidden/>
    <w:qFormat/>
    <w:uiPriority w:val="9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8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8">
    <w:name w:val="指标解释-正文 Char"/>
    <w:link w:val="89"/>
    <w:qFormat/>
    <w:uiPriority w:val="0"/>
    <w:rPr>
      <w:rFonts w:ascii="方正仿宋_GB2312" w:hAnsi="方正仿宋_GB2312" w:eastAsia="方正仿宋_GB2312" w:cs="方正仿宋_GB2312"/>
      <w:sz w:val="24"/>
      <w:szCs w:val="28"/>
    </w:rPr>
  </w:style>
  <w:style w:type="paragraph" w:customStyle="1" w:styleId="89">
    <w:name w:val="指标解释-正文"/>
    <w:basedOn w:val="1"/>
    <w:link w:val="88"/>
    <w:qFormat/>
    <w:uiPriority w:val="0"/>
    <w:pPr>
      <w:keepNext/>
      <w:keepLines/>
      <w:autoSpaceDE w:val="0"/>
      <w:autoSpaceDN w:val="0"/>
      <w:snapToGrid w:val="0"/>
      <w:spacing w:line="360" w:lineRule="auto"/>
      <w:ind w:firstLine="723" w:firstLineChars="200"/>
    </w:pPr>
    <w:rPr>
      <w:rFonts w:ascii="方正仿宋_GB2312" w:hAnsi="方正仿宋_GB2312" w:eastAsia="方正仿宋_GB2312" w:cs="方正仿宋_GB2312"/>
      <w:sz w:val="24"/>
      <w:szCs w:val="28"/>
    </w:rPr>
  </w:style>
  <w:style w:type="paragraph" w:customStyle="1" w:styleId="90">
    <w:name w:val="编号"/>
    <w:basedOn w:val="1"/>
    <w:qFormat/>
    <w:uiPriority w:val="0"/>
    <w:pPr>
      <w:keepNext/>
      <w:keepLines/>
      <w:numPr>
        <w:ilvl w:val="0"/>
        <w:numId w:val="3"/>
      </w:numPr>
      <w:autoSpaceDE w:val="0"/>
      <w:autoSpaceDN w:val="0"/>
      <w:snapToGrid w:val="0"/>
      <w:spacing w:line="360" w:lineRule="auto"/>
      <w:jc w:val="left"/>
    </w:pPr>
    <w:rPr>
      <w:rFonts w:hint="eastAsia" w:ascii="黑体" w:hAnsi="黑体" w:eastAsia="仿宋_GB2312" w:cs="黑体"/>
      <w:b/>
      <w:kern w:val="44"/>
      <w:sz w:val="24"/>
      <w:szCs w:val="32"/>
    </w:rPr>
  </w:style>
  <w:style w:type="character" w:customStyle="1" w:styleId="91">
    <w:name w:val="font2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11"/>
    <w:basedOn w:val="3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3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94">
    <w:name w:val="表格-文字"/>
    <w:basedOn w:val="1"/>
    <w:qFormat/>
    <w:uiPriority w:val="0"/>
    <w:pPr>
      <w:pBdr>
        <w:top w:val="none" w:color="auto" w:sz="0" w:space="4"/>
        <w:left w:val="none" w:color="auto" w:sz="0" w:space="4"/>
        <w:bottom w:val="none" w:color="auto" w:sz="0" w:space="4"/>
        <w:right w:val="none" w:color="auto" w:sz="0" w:space="4"/>
      </w:pBdr>
      <w:spacing w:line="288" w:lineRule="auto"/>
    </w:pPr>
    <w:rPr>
      <w:rFonts w:hint="eastAsia" w:eastAsia="宋体" w:cs="仿宋_GB2312"/>
      <w:sz w:val="21"/>
      <w:szCs w:val="22"/>
    </w:rPr>
  </w:style>
  <w:style w:type="paragraph" w:customStyle="1" w:styleId="9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3593</Words>
  <Characters>20482</Characters>
  <Lines>170</Lines>
  <Paragraphs>48</Paragraphs>
  <TotalTime>112</TotalTime>
  <ScaleCrop>false</ScaleCrop>
  <LinksUpToDate>false</LinksUpToDate>
  <CharactersWithSpaces>24027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2024-01-18T06:06:00Z</dcterms:created>
  <dc:creator>思超 陈</dc:creator>
  <cp:lastModifiedBy>Administrator</cp:lastModifiedBy>
  <cp:lastPrinted>2024-01-26T02:10:00Z</cp:lastPrinted>
  <dcterms:modified xsi:type="dcterms:W3CDTF">2024-02-08T08:16:52Z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