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160" w:lineRule="atLeast"/>
        <w:rPr>
          <w:rFonts w:hint="eastAsia" w:ascii="仿宋_GB2312" w:eastAsia="仿宋_GB2312"/>
          <w:sz w:val="28"/>
          <w:szCs w:val="28"/>
        </w:rPr>
      </w:pPr>
      <w:bookmarkStart w:id="0" w:name="_Toc14959761"/>
    </w:p>
    <w:p>
      <w:pPr>
        <w:pStyle w:val="16"/>
        <w:spacing w:line="160" w:lineRule="atLeast"/>
        <w:rPr>
          <w:rFonts w:ascii="仿宋_GB2312" w:eastAsia="仿宋_GB2312"/>
          <w:sz w:val="28"/>
          <w:szCs w:val="28"/>
        </w:rPr>
      </w:pPr>
    </w:p>
    <w:p>
      <w:pPr>
        <w:spacing w:before="240" w:after="240" w:line="160" w:lineRule="atLeast"/>
        <w:jc w:val="center"/>
        <w:rPr>
          <w:rFonts w:ascii="仿宋_GB2312" w:hAnsi="微软雅黑" w:eastAsia="仿宋_GB2312"/>
          <w:b/>
          <w:bCs/>
          <w:sz w:val="28"/>
          <w:szCs w:val="28"/>
        </w:rPr>
      </w:pPr>
    </w:p>
    <w:p>
      <w:pPr>
        <w:spacing w:before="240" w:after="240" w:line="160" w:lineRule="atLeast"/>
        <w:jc w:val="center"/>
        <w:rPr>
          <w:rFonts w:ascii="仿宋_GB2312" w:hAnsi="微软雅黑" w:eastAsia="仿宋_GB2312"/>
          <w:b/>
          <w:bCs/>
          <w:sz w:val="28"/>
          <w:szCs w:val="28"/>
        </w:rPr>
      </w:pPr>
    </w:p>
    <w:p>
      <w:pPr>
        <w:spacing w:before="240" w:after="240" w:line="160" w:lineRule="atLeast"/>
        <w:jc w:val="center"/>
        <w:rPr>
          <w:rFonts w:ascii="仿宋_GB2312" w:hAnsi="微软雅黑" w:eastAsia="仿宋_GB2312"/>
          <w:b/>
          <w:bCs/>
          <w:sz w:val="28"/>
          <w:szCs w:val="28"/>
        </w:rPr>
      </w:pPr>
    </w:p>
    <w:p>
      <w:pPr>
        <w:spacing w:before="240" w:after="240" w:line="160" w:lineRule="atLeast"/>
        <w:jc w:val="center"/>
        <w:rPr>
          <w:rFonts w:ascii="黑体" w:hAnsi="黑体" w:eastAsia="黑体"/>
          <w:b/>
          <w:bCs/>
          <w:sz w:val="44"/>
          <w:szCs w:val="44"/>
        </w:rPr>
      </w:pPr>
      <w:r>
        <w:rPr>
          <w:rFonts w:hint="eastAsia" w:ascii="黑体" w:hAnsi="黑体" w:eastAsia="黑体"/>
          <w:b/>
          <w:bCs/>
          <w:sz w:val="44"/>
          <w:szCs w:val="44"/>
        </w:rPr>
        <w:t>智慧崇明“十四五”发展规划</w:t>
      </w:r>
    </w:p>
    <w:p>
      <w:pPr>
        <w:spacing w:line="160" w:lineRule="atLeast"/>
        <w:rPr>
          <w:rFonts w:ascii="仿宋_GB2312" w:hAnsi="仿宋_GB2312" w:eastAsia="仿宋_GB2312"/>
          <w:sz w:val="28"/>
          <w:szCs w:val="28"/>
        </w:rPr>
      </w:pPr>
    </w:p>
    <w:p>
      <w:pPr>
        <w:spacing w:line="160" w:lineRule="atLeast"/>
        <w:ind w:left="420" w:hanging="420"/>
        <w:rPr>
          <w:rFonts w:ascii="仿宋_GB2312" w:hAnsi="仿宋_GB2312" w:eastAsia="仿宋_GB2312"/>
          <w:sz w:val="28"/>
          <w:szCs w:val="28"/>
        </w:rPr>
      </w:pPr>
    </w:p>
    <w:p>
      <w:pPr>
        <w:spacing w:line="160" w:lineRule="atLeast"/>
        <w:ind w:left="420" w:hanging="420"/>
        <w:rPr>
          <w:rFonts w:ascii="仿宋_GB2312" w:hAnsi="仿宋_GB2312" w:eastAsia="仿宋_GB2312"/>
          <w:sz w:val="28"/>
          <w:szCs w:val="28"/>
        </w:rPr>
      </w:pPr>
    </w:p>
    <w:p>
      <w:pPr>
        <w:spacing w:line="160" w:lineRule="atLeast"/>
        <w:ind w:left="420" w:hanging="420"/>
        <w:rPr>
          <w:rFonts w:ascii="仿宋_GB2312" w:hAnsi="仿宋_GB2312" w:eastAsia="仿宋_GB2312"/>
          <w:sz w:val="28"/>
          <w:szCs w:val="28"/>
        </w:rPr>
      </w:pPr>
    </w:p>
    <w:p>
      <w:pPr>
        <w:spacing w:line="160" w:lineRule="atLeast"/>
        <w:ind w:left="420" w:hanging="420"/>
        <w:rPr>
          <w:rFonts w:ascii="仿宋_GB2312" w:hAnsi="仿宋_GB2312" w:eastAsia="仿宋_GB2312"/>
          <w:sz w:val="28"/>
          <w:szCs w:val="28"/>
        </w:rPr>
      </w:pPr>
    </w:p>
    <w:p>
      <w:pPr>
        <w:spacing w:line="160" w:lineRule="atLeast"/>
        <w:ind w:left="420" w:hanging="420"/>
        <w:rPr>
          <w:rFonts w:ascii="仿宋_GB2312" w:hAnsi="仿宋_GB2312" w:eastAsia="仿宋_GB2312"/>
          <w:sz w:val="28"/>
          <w:szCs w:val="28"/>
        </w:rPr>
      </w:pPr>
    </w:p>
    <w:p>
      <w:pPr>
        <w:spacing w:line="160" w:lineRule="atLeast"/>
        <w:ind w:left="420" w:hanging="420"/>
        <w:rPr>
          <w:rFonts w:ascii="仿宋_GB2312" w:hAnsi="仿宋_GB2312" w:eastAsia="仿宋_GB2312"/>
          <w:sz w:val="28"/>
          <w:szCs w:val="28"/>
        </w:rPr>
      </w:pPr>
    </w:p>
    <w:p>
      <w:pPr>
        <w:spacing w:line="160" w:lineRule="atLeast"/>
        <w:ind w:left="420" w:hanging="420"/>
        <w:rPr>
          <w:rFonts w:ascii="仿宋_GB2312" w:hAnsi="仿宋_GB2312" w:eastAsia="仿宋_GB2312"/>
          <w:sz w:val="28"/>
          <w:szCs w:val="28"/>
        </w:rPr>
      </w:pPr>
    </w:p>
    <w:p>
      <w:pPr>
        <w:spacing w:line="160" w:lineRule="atLeast"/>
        <w:ind w:left="420" w:hanging="420"/>
        <w:rPr>
          <w:rFonts w:ascii="仿宋_GB2312" w:hAnsi="仿宋_GB2312" w:eastAsia="仿宋_GB2312"/>
          <w:sz w:val="28"/>
          <w:szCs w:val="28"/>
        </w:rPr>
      </w:pPr>
    </w:p>
    <w:p>
      <w:pPr>
        <w:spacing w:line="160" w:lineRule="atLeast"/>
        <w:ind w:left="420" w:hanging="420"/>
        <w:rPr>
          <w:rFonts w:ascii="仿宋_GB2312" w:hAnsi="仿宋_GB2312" w:eastAsia="仿宋_GB2312"/>
          <w:sz w:val="28"/>
          <w:szCs w:val="28"/>
        </w:rPr>
      </w:pPr>
    </w:p>
    <w:p>
      <w:pPr>
        <w:spacing w:line="160" w:lineRule="atLeast"/>
        <w:rPr>
          <w:rFonts w:ascii="仿宋_GB2312" w:eastAsia="仿宋_GB2312" w:cs="Times New Roman"/>
          <w:sz w:val="28"/>
          <w:szCs w:val="28"/>
        </w:rPr>
      </w:pPr>
    </w:p>
    <w:p>
      <w:pPr>
        <w:spacing w:line="160" w:lineRule="atLeast"/>
        <w:jc w:val="center"/>
        <w:rPr>
          <w:rFonts w:ascii="仿宋_GB2312" w:hAnsi="黑体" w:eastAsia="仿宋_GB2312" w:cs="Times New Roman"/>
          <w:sz w:val="28"/>
          <w:szCs w:val="28"/>
        </w:rPr>
      </w:pPr>
      <w:r>
        <w:rPr>
          <w:rFonts w:hint="eastAsia" w:ascii="仿宋_GB2312" w:eastAsia="仿宋_GB2312" w:cs="Times New Roman"/>
          <w:sz w:val="28"/>
          <w:szCs w:val="28"/>
        </w:rPr>
        <w:drawing>
          <wp:anchor distT="0" distB="0" distL="114300" distR="114300" simplePos="0" relativeHeight="251659264" behindDoc="0" locked="0" layoutInCell="1" allowOverlap="1">
            <wp:simplePos x="0" y="0"/>
            <wp:positionH relativeFrom="column">
              <wp:posOffset>2719070</wp:posOffset>
            </wp:positionH>
            <wp:positionV relativeFrom="paragraph">
              <wp:posOffset>7131685</wp:posOffset>
            </wp:positionV>
            <wp:extent cx="2133600" cy="5334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133600" cy="533400"/>
                    </a:xfrm>
                    <a:prstGeom prst="rect">
                      <a:avLst/>
                    </a:prstGeom>
                    <a:noFill/>
                    <a:ln>
                      <a:noFill/>
                    </a:ln>
                  </pic:spPr>
                </pic:pic>
              </a:graphicData>
            </a:graphic>
          </wp:anchor>
        </w:drawing>
      </w:r>
      <w:r>
        <w:rPr>
          <w:rFonts w:hint="eastAsia" w:ascii="仿宋_GB2312" w:hAnsi="黑体" w:eastAsia="仿宋_GB2312" w:cs="Times New Roman"/>
          <w:sz w:val="28"/>
          <w:szCs w:val="28"/>
        </w:rPr>
        <w:t>上海市崇明区科学技术委员会</w:t>
      </w:r>
    </w:p>
    <w:p>
      <w:pPr>
        <w:spacing w:line="160" w:lineRule="atLeast"/>
        <w:jc w:val="center"/>
        <w:rPr>
          <w:rFonts w:ascii="仿宋_GB2312" w:eastAsia="仿宋_GB2312"/>
          <w:smallCaps/>
          <w:sz w:val="28"/>
          <w:szCs w:val="28"/>
          <w:lang w:val="zh-CN"/>
        </w:rPr>
        <w:sectPr>
          <w:pgSz w:w="11906" w:h="16838"/>
          <w:pgMar w:top="1440" w:right="1800" w:bottom="1440" w:left="1800" w:header="851" w:footer="992" w:gutter="0"/>
          <w:pgNumType w:start="1"/>
          <w:cols w:space="425" w:num="1"/>
          <w:docGrid w:type="lines" w:linePitch="312" w:charSpace="0"/>
        </w:sectPr>
      </w:pPr>
      <w:bookmarkStart w:id="1" w:name="_Toc47451062"/>
      <w:bookmarkStart w:id="2" w:name="_Toc38977976"/>
      <w:bookmarkStart w:id="3" w:name="_Toc47450681"/>
      <w:bookmarkStart w:id="4" w:name="_Toc47450953"/>
      <w:bookmarkStart w:id="5" w:name="_Toc47450100"/>
      <w:bookmarkStart w:id="6" w:name="_Toc38801119"/>
      <w:r>
        <w:rPr>
          <w:rFonts w:hint="eastAsia" w:ascii="仿宋_GB2312" w:hAnsi="黑体" w:eastAsia="仿宋_GB2312" w:cs="Times New Roman"/>
          <w:sz w:val="28"/>
          <w:szCs w:val="28"/>
        </w:rPr>
        <w:t>2</w:t>
      </w:r>
      <w:r>
        <w:rPr>
          <w:rFonts w:hint="eastAsia" w:ascii="仿宋_GB2312" w:eastAsia="仿宋_GB2312"/>
          <w:smallCaps/>
          <w:sz w:val="28"/>
          <w:szCs w:val="28"/>
        </w:rPr>
        <w:t>021</w:t>
      </w:r>
      <w:r>
        <w:rPr>
          <w:rFonts w:hint="eastAsia" w:ascii="仿宋_GB2312" w:eastAsia="仿宋_GB2312"/>
          <w:smallCaps/>
          <w:sz w:val="28"/>
          <w:szCs w:val="28"/>
          <w:lang w:val="zh-CN"/>
        </w:rPr>
        <w:t>年</w:t>
      </w:r>
      <w:r>
        <w:rPr>
          <w:rFonts w:hint="eastAsia" w:ascii="仿宋_GB2312" w:eastAsia="仿宋_GB2312"/>
          <w:smallCaps/>
          <w:sz w:val="28"/>
          <w:szCs w:val="28"/>
        </w:rPr>
        <w:t>3</w:t>
      </w:r>
      <w:r>
        <w:rPr>
          <w:rFonts w:hint="eastAsia" w:ascii="仿宋_GB2312" w:eastAsia="仿宋_GB2312"/>
          <w:smallCaps/>
          <w:sz w:val="28"/>
          <w:szCs w:val="28"/>
          <w:lang w:val="zh-CN"/>
        </w:rPr>
        <w:t>月</w:t>
      </w:r>
    </w:p>
    <w:sdt>
      <w:sdtPr>
        <w:rPr>
          <w:rFonts w:hint="eastAsia" w:ascii="仿宋_GB2312" w:eastAsia="仿宋_GB2312" w:cstheme="minorHAnsi"/>
          <w:smallCaps/>
          <w:sz w:val="28"/>
          <w:szCs w:val="28"/>
          <w:lang w:val="zh-CN"/>
        </w:rPr>
        <w:id w:val="-294365133"/>
        <w:docPartObj>
          <w:docPartGallery w:val="Table of Contents"/>
          <w:docPartUnique/>
        </w:docPartObj>
      </w:sdtPr>
      <w:sdtEndPr>
        <w:rPr>
          <w:rFonts w:hint="eastAsia" w:ascii="仿宋_GB2312" w:eastAsia="仿宋_GB2312" w:cstheme="minorHAnsi"/>
          <w:b/>
          <w:bCs/>
          <w:smallCaps/>
          <w:sz w:val="28"/>
          <w:szCs w:val="28"/>
          <w:lang w:val="zh-CN"/>
        </w:rPr>
      </w:sdtEndPr>
      <w:sdtContent>
        <w:p>
          <w:pPr>
            <w:spacing w:line="160" w:lineRule="atLeast"/>
            <w:jc w:val="center"/>
            <w:rPr>
              <w:rStyle w:val="13"/>
              <w:rFonts w:ascii="仿宋_GB2312" w:hAnsi="黑体" w:eastAsia="仿宋_GB2312" w:cstheme="minorHAnsi"/>
              <w:b/>
              <w:bCs/>
              <w:caps/>
              <w:color w:val="auto"/>
              <w:sz w:val="32"/>
              <w:szCs w:val="32"/>
              <w:u w:val="none"/>
            </w:rPr>
          </w:pPr>
          <w:r>
            <w:rPr>
              <w:rStyle w:val="13"/>
              <w:rFonts w:hint="eastAsia" w:ascii="仿宋_GB2312" w:hAnsi="黑体" w:eastAsia="仿宋_GB2312" w:cstheme="minorHAnsi"/>
              <w:b/>
              <w:bCs/>
              <w:caps/>
              <w:color w:val="auto"/>
              <w:sz w:val="32"/>
              <w:szCs w:val="32"/>
              <w:u w:val="none"/>
            </w:rPr>
            <w:t>目录</w:t>
          </w:r>
        </w:p>
        <w:p>
          <w:pPr>
            <w:pStyle w:val="8"/>
            <w:tabs>
              <w:tab w:val="right" w:leader="dot" w:pos="8306"/>
              <w:tab w:val="clear" w:pos="8296"/>
            </w:tabs>
          </w:pPr>
          <w:r>
            <w:rPr>
              <w:rFonts w:hint="eastAsia" w:ascii="仿宋_GB2312" w:eastAsia="仿宋_GB2312"/>
              <w:szCs w:val="28"/>
            </w:rPr>
            <w:fldChar w:fldCharType="begin"/>
          </w:r>
          <w:r>
            <w:rPr>
              <w:rFonts w:hint="eastAsia" w:ascii="仿宋_GB2312" w:eastAsia="仿宋_GB2312"/>
              <w:szCs w:val="28"/>
            </w:rPr>
            <w:instrText xml:space="preserve"> TOC \o "1-2" \h \z \u </w:instrText>
          </w:r>
          <w:r>
            <w:rPr>
              <w:rFonts w:hint="eastAsia" w:ascii="仿宋_GB2312" w:eastAsia="仿宋_GB2312"/>
              <w:szCs w:val="28"/>
            </w:rPr>
            <w:fldChar w:fldCharType="separate"/>
          </w:r>
          <w:r>
            <w:fldChar w:fldCharType="begin"/>
          </w:r>
          <w:r>
            <w:instrText xml:space="preserve"> HYPERLINK \l "_Toc1637" </w:instrText>
          </w:r>
          <w:r>
            <w:fldChar w:fldCharType="separate"/>
          </w:r>
          <w:r>
            <w:rPr>
              <w:rFonts w:hint="eastAsia" w:ascii="仿宋_GB2312" w:hAnsi="黑体" w:eastAsia="仿宋_GB2312"/>
              <w:szCs w:val="32"/>
            </w:rPr>
            <w:t>一、充分认识当今变化趋势，把握时代发展机遇</w:t>
          </w:r>
          <w:r>
            <w:tab/>
          </w:r>
          <w:r>
            <w:fldChar w:fldCharType="end"/>
          </w:r>
        </w:p>
        <w:p>
          <w:pPr>
            <w:pStyle w:val="10"/>
            <w:tabs>
              <w:tab w:val="right" w:leader="dot" w:pos="8306"/>
            </w:tabs>
          </w:pPr>
          <w:r>
            <w:fldChar w:fldCharType="begin"/>
          </w:r>
          <w:r>
            <w:instrText xml:space="preserve"> HYPERLINK \l "_Toc12436" </w:instrText>
          </w:r>
          <w:r>
            <w:fldChar w:fldCharType="separate"/>
          </w:r>
          <w:r>
            <w:rPr>
              <w:rFonts w:hint="eastAsia" w:ascii="仿宋_GB2312" w:hAnsi="黑体" w:eastAsia="仿宋_GB2312"/>
            </w:rPr>
            <w:t>（一）“十三五”期间信息化发展回顾</w:t>
          </w:r>
          <w:r>
            <w:tab/>
          </w:r>
          <w:r>
            <w:fldChar w:fldCharType="end"/>
          </w:r>
        </w:p>
        <w:p>
          <w:pPr>
            <w:pStyle w:val="10"/>
            <w:tabs>
              <w:tab w:val="right" w:leader="dot" w:pos="8306"/>
            </w:tabs>
          </w:pPr>
          <w:r>
            <w:fldChar w:fldCharType="begin"/>
          </w:r>
          <w:r>
            <w:instrText xml:space="preserve"> HYPERLINK \l "_Toc6150" </w:instrText>
          </w:r>
          <w:r>
            <w:fldChar w:fldCharType="separate"/>
          </w:r>
          <w:r>
            <w:rPr>
              <w:rFonts w:hint="eastAsia" w:ascii="仿宋_GB2312" w:hAnsi="黑体" w:eastAsia="仿宋_GB2312"/>
            </w:rPr>
            <w:t>（二）“十四五”期间信息化面临形势</w:t>
          </w:r>
          <w:r>
            <w:tab/>
          </w:r>
          <w:r>
            <w:fldChar w:fldCharType="end"/>
          </w:r>
        </w:p>
        <w:p>
          <w:pPr>
            <w:pStyle w:val="10"/>
            <w:tabs>
              <w:tab w:val="right" w:leader="dot" w:pos="8306"/>
            </w:tabs>
          </w:pPr>
          <w:r>
            <w:fldChar w:fldCharType="begin"/>
          </w:r>
          <w:r>
            <w:instrText xml:space="preserve"> HYPERLINK \l "_Toc16868" </w:instrText>
          </w:r>
          <w:r>
            <w:fldChar w:fldCharType="separate"/>
          </w:r>
          <w:r>
            <w:rPr>
              <w:rFonts w:hint="eastAsia" w:ascii="仿宋_GB2312" w:hAnsi="黑体" w:eastAsia="仿宋_GB2312"/>
            </w:rPr>
            <w:t>（三）“十四五”机遇与挑战</w:t>
          </w:r>
          <w:r>
            <w:tab/>
          </w:r>
          <w:r>
            <w:fldChar w:fldCharType="end"/>
          </w:r>
        </w:p>
        <w:p>
          <w:pPr>
            <w:pStyle w:val="8"/>
            <w:tabs>
              <w:tab w:val="right" w:leader="dot" w:pos="8306"/>
              <w:tab w:val="clear" w:pos="8296"/>
            </w:tabs>
          </w:pPr>
          <w:r>
            <w:fldChar w:fldCharType="begin"/>
          </w:r>
          <w:r>
            <w:instrText xml:space="preserve"> HYPERLINK \l "_Toc11551" </w:instrText>
          </w:r>
          <w:r>
            <w:fldChar w:fldCharType="separate"/>
          </w:r>
          <w:r>
            <w:rPr>
              <w:rFonts w:hint="eastAsia" w:ascii="仿宋_GB2312" w:hAnsi="黑体" w:eastAsia="仿宋_GB2312"/>
              <w:szCs w:val="32"/>
            </w:rPr>
            <w:t>二、深入贯彻新时代发展理念，明确自身战略定位</w:t>
          </w:r>
          <w:r>
            <w:tab/>
          </w:r>
          <w:r>
            <w:fldChar w:fldCharType="end"/>
          </w:r>
        </w:p>
        <w:p>
          <w:pPr>
            <w:pStyle w:val="10"/>
            <w:tabs>
              <w:tab w:val="right" w:leader="dot" w:pos="8306"/>
            </w:tabs>
          </w:pPr>
          <w:r>
            <w:fldChar w:fldCharType="begin"/>
          </w:r>
          <w:r>
            <w:instrText xml:space="preserve"> HYPERLINK \l "_Toc21662" </w:instrText>
          </w:r>
          <w:r>
            <w:fldChar w:fldCharType="separate"/>
          </w:r>
          <w:r>
            <w:rPr>
              <w:rFonts w:hint="eastAsia" w:ascii="仿宋_GB2312" w:hAnsi="黑体" w:eastAsia="仿宋_GB2312"/>
            </w:rPr>
            <w:t>（一）指导思想</w:t>
          </w:r>
          <w:r>
            <w:tab/>
          </w:r>
          <w:r>
            <w:fldChar w:fldCharType="end"/>
          </w:r>
        </w:p>
        <w:p>
          <w:pPr>
            <w:pStyle w:val="10"/>
            <w:tabs>
              <w:tab w:val="right" w:leader="dot" w:pos="8306"/>
            </w:tabs>
          </w:pPr>
          <w:r>
            <w:fldChar w:fldCharType="begin"/>
          </w:r>
          <w:r>
            <w:instrText xml:space="preserve"> HYPERLINK \l "_Toc30592" </w:instrText>
          </w:r>
          <w:r>
            <w:fldChar w:fldCharType="separate"/>
          </w:r>
          <w:r>
            <w:rPr>
              <w:rFonts w:hint="eastAsia" w:ascii="仿宋_GB2312" w:hAnsi="黑体" w:eastAsia="仿宋_GB2312"/>
            </w:rPr>
            <w:t>（二）基本原则</w:t>
          </w:r>
          <w:r>
            <w:tab/>
          </w:r>
          <w:r>
            <w:fldChar w:fldCharType="end"/>
          </w:r>
        </w:p>
        <w:p>
          <w:pPr>
            <w:pStyle w:val="10"/>
            <w:tabs>
              <w:tab w:val="right" w:leader="dot" w:pos="8306"/>
            </w:tabs>
          </w:pPr>
          <w:r>
            <w:fldChar w:fldCharType="begin"/>
          </w:r>
          <w:r>
            <w:instrText xml:space="preserve"> HYPERLINK \l "_Toc1006" </w:instrText>
          </w:r>
          <w:r>
            <w:fldChar w:fldCharType="separate"/>
          </w:r>
          <w:r>
            <w:rPr>
              <w:rFonts w:hint="eastAsia" w:ascii="仿宋_GB2312" w:hAnsi="黑体" w:eastAsia="仿宋_GB2312"/>
            </w:rPr>
            <w:t>（三）发展目标</w:t>
          </w:r>
          <w:r>
            <w:tab/>
          </w:r>
          <w:r>
            <w:fldChar w:fldCharType="end"/>
          </w:r>
        </w:p>
        <w:p>
          <w:pPr>
            <w:pStyle w:val="10"/>
            <w:tabs>
              <w:tab w:val="right" w:leader="dot" w:pos="8306"/>
            </w:tabs>
          </w:pPr>
          <w:r>
            <w:fldChar w:fldCharType="begin"/>
          </w:r>
          <w:r>
            <w:instrText xml:space="preserve"> HYPERLINK \l "_Toc31703" </w:instrText>
          </w:r>
          <w:r>
            <w:fldChar w:fldCharType="separate"/>
          </w:r>
          <w:r>
            <w:rPr>
              <w:rFonts w:hint="eastAsia" w:ascii="仿宋_GB2312" w:hAnsi="黑体" w:eastAsia="仿宋_GB2312"/>
            </w:rPr>
            <w:t>（四）总体框架</w:t>
          </w:r>
          <w:r>
            <w:tab/>
          </w:r>
          <w:r>
            <w:fldChar w:fldCharType="end"/>
          </w:r>
        </w:p>
        <w:p>
          <w:pPr>
            <w:pStyle w:val="8"/>
            <w:tabs>
              <w:tab w:val="right" w:leader="dot" w:pos="8306"/>
              <w:tab w:val="clear" w:pos="8296"/>
            </w:tabs>
          </w:pPr>
          <w:r>
            <w:fldChar w:fldCharType="begin"/>
          </w:r>
          <w:r>
            <w:instrText xml:space="preserve"> HYPERLINK \l "_Toc1843" </w:instrText>
          </w:r>
          <w:r>
            <w:fldChar w:fldCharType="separate"/>
          </w:r>
          <w:r>
            <w:rPr>
              <w:rFonts w:hint="eastAsia" w:ascii="仿宋_GB2312" w:hAnsi="黑体" w:eastAsia="仿宋_GB2312"/>
              <w:szCs w:val="32"/>
            </w:rPr>
            <w:t>三、积极探索特色示范建设，打造标杆辐射效应</w:t>
          </w:r>
          <w:r>
            <w:tab/>
          </w:r>
          <w:r>
            <w:fldChar w:fldCharType="end"/>
          </w:r>
        </w:p>
        <w:p>
          <w:pPr>
            <w:pStyle w:val="10"/>
            <w:tabs>
              <w:tab w:val="right" w:leader="dot" w:pos="8306"/>
            </w:tabs>
          </w:pPr>
          <w:r>
            <w:fldChar w:fldCharType="begin"/>
          </w:r>
          <w:r>
            <w:instrText xml:space="preserve"> HYPERLINK \l "_Toc27593" </w:instrText>
          </w:r>
          <w:r>
            <w:fldChar w:fldCharType="separate"/>
          </w:r>
          <w:r>
            <w:rPr>
              <w:rFonts w:hint="eastAsia" w:ascii="仿宋_GB2312" w:hAnsi="黑体" w:eastAsia="仿宋_GB2312"/>
            </w:rPr>
            <w:t>（一）建设智慧花卉，做强花卉产业贸易</w:t>
          </w:r>
          <w:r>
            <w:tab/>
          </w:r>
          <w:r>
            <w:fldChar w:fldCharType="end"/>
          </w:r>
        </w:p>
        <w:p>
          <w:pPr>
            <w:pStyle w:val="10"/>
            <w:tabs>
              <w:tab w:val="right" w:leader="dot" w:pos="8306"/>
            </w:tabs>
          </w:pPr>
          <w:r>
            <w:fldChar w:fldCharType="begin"/>
          </w:r>
          <w:r>
            <w:instrText xml:space="preserve"> HYPERLINK \l "_Toc19001" </w:instrText>
          </w:r>
          <w:r>
            <w:fldChar w:fldCharType="separate"/>
          </w:r>
          <w:r>
            <w:rPr>
              <w:rFonts w:hint="eastAsia" w:ascii="仿宋_GB2312" w:hAnsi="黑体" w:eastAsia="仿宋_GB2312"/>
            </w:rPr>
            <w:t>（二）建设智慧园区，承载产业转型创新</w:t>
          </w:r>
          <w:r>
            <w:tab/>
          </w:r>
          <w:r>
            <w:fldChar w:fldCharType="end"/>
          </w:r>
        </w:p>
        <w:p>
          <w:pPr>
            <w:pStyle w:val="10"/>
            <w:tabs>
              <w:tab w:val="right" w:leader="dot" w:pos="8306"/>
            </w:tabs>
          </w:pPr>
          <w:r>
            <w:fldChar w:fldCharType="begin"/>
          </w:r>
          <w:r>
            <w:instrText xml:space="preserve"> HYPERLINK \l "_Toc27078" </w:instrText>
          </w:r>
          <w:r>
            <w:fldChar w:fldCharType="separate"/>
          </w:r>
          <w:r>
            <w:rPr>
              <w:rFonts w:hint="eastAsia" w:ascii="仿宋_GB2312" w:hAnsi="黑体" w:eastAsia="仿宋_GB2312"/>
            </w:rPr>
            <w:t>（三）建设智慧农场，丰富新型农业内涵</w:t>
          </w:r>
          <w:r>
            <w:tab/>
          </w:r>
          <w:r>
            <w:fldChar w:fldCharType="end"/>
          </w:r>
        </w:p>
        <w:p>
          <w:pPr>
            <w:pStyle w:val="10"/>
            <w:tabs>
              <w:tab w:val="right" w:leader="dot" w:pos="8306"/>
            </w:tabs>
          </w:pPr>
          <w:r>
            <w:fldChar w:fldCharType="begin"/>
          </w:r>
          <w:r>
            <w:instrText xml:space="preserve"> HYPERLINK \l "_Toc31800" </w:instrText>
          </w:r>
          <w:r>
            <w:fldChar w:fldCharType="separate"/>
          </w:r>
          <w:r>
            <w:rPr>
              <w:rFonts w:hint="eastAsia" w:ascii="仿宋_GB2312" w:hAnsi="黑体" w:eastAsia="仿宋_GB2312"/>
            </w:rPr>
            <w:t>（四）建设智慧湿地，支撑生态环境保护</w:t>
          </w:r>
          <w:r>
            <w:tab/>
          </w:r>
          <w:r>
            <w:fldChar w:fldCharType="end"/>
          </w:r>
        </w:p>
        <w:p>
          <w:pPr>
            <w:pStyle w:val="10"/>
            <w:tabs>
              <w:tab w:val="right" w:leader="dot" w:pos="8306"/>
            </w:tabs>
          </w:pPr>
          <w:r>
            <w:fldChar w:fldCharType="begin"/>
          </w:r>
          <w:r>
            <w:instrText xml:space="preserve"> HYPERLINK \l "_Toc19587" </w:instrText>
          </w:r>
          <w:r>
            <w:fldChar w:fldCharType="separate"/>
          </w:r>
          <w:r>
            <w:rPr>
              <w:rFonts w:hint="eastAsia" w:ascii="仿宋_GB2312" w:hAnsi="黑体" w:eastAsia="仿宋_GB2312"/>
            </w:rPr>
            <w:t>（五）建设智慧村庄，激发乡村内生活力</w:t>
          </w:r>
          <w:r>
            <w:tab/>
          </w:r>
          <w:r>
            <w:fldChar w:fldCharType="end"/>
          </w:r>
        </w:p>
        <w:p>
          <w:pPr>
            <w:pStyle w:val="8"/>
            <w:tabs>
              <w:tab w:val="right" w:leader="dot" w:pos="8306"/>
              <w:tab w:val="clear" w:pos="8296"/>
            </w:tabs>
          </w:pPr>
          <w:r>
            <w:fldChar w:fldCharType="begin"/>
          </w:r>
          <w:r>
            <w:instrText xml:space="preserve"> HYPERLINK \l "_Toc29677" </w:instrText>
          </w:r>
          <w:r>
            <w:fldChar w:fldCharType="separate"/>
          </w:r>
          <w:r>
            <w:rPr>
              <w:rFonts w:hint="eastAsia" w:ascii="仿宋_GB2312" w:hAnsi="黑体" w:eastAsia="仿宋_GB2312"/>
              <w:szCs w:val="32"/>
            </w:rPr>
            <w:t>四、加速实施三生融合战略，促进应用多元发展</w:t>
          </w:r>
          <w:r>
            <w:tab/>
          </w:r>
          <w:r>
            <w:fldChar w:fldCharType="end"/>
          </w:r>
        </w:p>
        <w:p>
          <w:pPr>
            <w:pStyle w:val="10"/>
            <w:tabs>
              <w:tab w:val="right" w:leader="dot" w:pos="8306"/>
            </w:tabs>
          </w:pPr>
          <w:r>
            <w:fldChar w:fldCharType="begin"/>
          </w:r>
          <w:r>
            <w:instrText xml:space="preserve"> HYPERLINK \l "_Toc26432" </w:instrText>
          </w:r>
          <w:r>
            <w:fldChar w:fldCharType="separate"/>
          </w:r>
          <w:r>
            <w:rPr>
              <w:rFonts w:hint="eastAsia" w:ascii="仿宋_GB2312" w:hAnsi="黑体" w:eastAsia="仿宋_GB2312"/>
            </w:rPr>
            <w:t>（一）发挥“生态+魅力”，促进城市治理智慧高效</w:t>
          </w:r>
          <w:r>
            <w:tab/>
          </w:r>
          <w:r>
            <w:fldChar w:fldCharType="end"/>
          </w:r>
        </w:p>
        <w:p>
          <w:pPr>
            <w:pStyle w:val="10"/>
            <w:tabs>
              <w:tab w:val="right" w:leader="dot" w:pos="8306"/>
            </w:tabs>
          </w:pPr>
          <w:r>
            <w:fldChar w:fldCharType="begin"/>
          </w:r>
          <w:r>
            <w:instrText xml:space="preserve"> HYPERLINK \l "_Toc31040" </w:instrText>
          </w:r>
          <w:r>
            <w:fldChar w:fldCharType="separate"/>
          </w:r>
          <w:r>
            <w:rPr>
              <w:rFonts w:hint="eastAsia" w:ascii="仿宋_GB2312" w:hAnsi="黑体" w:eastAsia="仿宋_GB2312"/>
            </w:rPr>
            <w:t>（二）创新“生态+活力”，促进人居生活美好品质</w:t>
          </w:r>
          <w:r>
            <w:tab/>
          </w:r>
          <w:r>
            <w:fldChar w:fldCharType="end"/>
          </w:r>
        </w:p>
        <w:p>
          <w:pPr>
            <w:pStyle w:val="10"/>
            <w:tabs>
              <w:tab w:val="right" w:leader="dot" w:pos="8306"/>
            </w:tabs>
          </w:pPr>
          <w:r>
            <w:fldChar w:fldCharType="begin"/>
          </w:r>
          <w:r>
            <w:instrText xml:space="preserve"> HYPERLINK \l "_Toc17733" </w:instrText>
          </w:r>
          <w:r>
            <w:fldChar w:fldCharType="separate"/>
          </w:r>
          <w:r>
            <w:rPr>
              <w:rFonts w:hint="eastAsia" w:ascii="仿宋_GB2312" w:hAnsi="黑体" w:eastAsia="仿宋_GB2312"/>
            </w:rPr>
            <w:t>（三）激发“生态+动力”，促进绿色产业高端发展</w:t>
          </w:r>
          <w:r>
            <w:tab/>
          </w:r>
          <w:r>
            <w:fldChar w:fldCharType="end"/>
          </w:r>
        </w:p>
        <w:p>
          <w:pPr>
            <w:pStyle w:val="8"/>
            <w:tabs>
              <w:tab w:val="right" w:leader="dot" w:pos="8306"/>
              <w:tab w:val="clear" w:pos="8296"/>
            </w:tabs>
          </w:pPr>
          <w:r>
            <w:fldChar w:fldCharType="begin"/>
          </w:r>
          <w:r>
            <w:instrText xml:space="preserve"> HYPERLINK \l "_Toc18773" </w:instrText>
          </w:r>
          <w:r>
            <w:fldChar w:fldCharType="separate"/>
          </w:r>
          <w:r>
            <w:rPr>
              <w:rFonts w:hint="eastAsia" w:ascii="仿宋_GB2312" w:hAnsi="黑体" w:eastAsia="仿宋_GB2312"/>
              <w:szCs w:val="32"/>
            </w:rPr>
            <w:t>五、全力推进两网协同发展，支撑城市高效运行</w:t>
          </w:r>
          <w:r>
            <w:tab/>
          </w:r>
          <w:r>
            <w:fldChar w:fldCharType="end"/>
          </w:r>
        </w:p>
        <w:p>
          <w:pPr>
            <w:pStyle w:val="10"/>
            <w:tabs>
              <w:tab w:val="right" w:leader="dot" w:pos="8306"/>
            </w:tabs>
            <w:rPr>
              <w:rFonts w:ascii="仿宋_GB2312" w:eastAsia="仿宋_GB2312"/>
              <w:szCs w:val="28"/>
            </w:rPr>
            <w:sectPr>
              <w:footerReference r:id="rId4" w:type="default"/>
              <w:pgSz w:w="11906" w:h="16838"/>
              <w:pgMar w:top="1440" w:right="1800" w:bottom="1440" w:left="1800" w:header="851" w:footer="992" w:gutter="0"/>
              <w:pgNumType w:start="1"/>
              <w:cols w:space="425" w:num="1"/>
              <w:docGrid w:type="lines" w:linePitch="312" w:charSpace="0"/>
            </w:sectPr>
          </w:pPr>
        </w:p>
        <w:p>
          <w:pPr>
            <w:pStyle w:val="10"/>
            <w:tabs>
              <w:tab w:val="right" w:leader="dot" w:pos="8306"/>
            </w:tabs>
          </w:pPr>
          <w:r>
            <w:fldChar w:fldCharType="begin"/>
          </w:r>
          <w:r>
            <w:instrText xml:space="preserve"> HYPERLINK \l "_Toc31289" </w:instrText>
          </w:r>
          <w:r>
            <w:fldChar w:fldCharType="separate"/>
          </w:r>
          <w:r>
            <w:rPr>
              <w:rFonts w:hint="eastAsia" w:ascii="仿宋_GB2312" w:hAnsi="黑体" w:eastAsia="仿宋_GB2312"/>
            </w:rPr>
            <w:t>（一）着力推进城市运行“一网统管”</w:t>
          </w:r>
          <w:r>
            <w:tab/>
          </w:r>
          <w:r>
            <w:fldChar w:fldCharType="end"/>
          </w:r>
        </w:p>
        <w:p>
          <w:pPr>
            <w:pStyle w:val="10"/>
            <w:tabs>
              <w:tab w:val="right" w:leader="dot" w:pos="8306"/>
            </w:tabs>
          </w:pPr>
          <w:r>
            <w:fldChar w:fldCharType="begin"/>
          </w:r>
          <w:r>
            <w:instrText xml:space="preserve"> HYPERLINK \l "_Toc4096" </w:instrText>
          </w:r>
          <w:r>
            <w:fldChar w:fldCharType="separate"/>
          </w:r>
          <w:r>
            <w:rPr>
              <w:rFonts w:hint="eastAsia" w:ascii="仿宋_GB2312" w:hAnsi="黑体" w:eastAsia="仿宋_GB2312"/>
            </w:rPr>
            <w:t>（二）全面深化政务服务“一网通办”</w:t>
          </w:r>
          <w:r>
            <w:tab/>
          </w:r>
          <w:r>
            <w:fldChar w:fldCharType="end"/>
          </w:r>
        </w:p>
        <w:p>
          <w:pPr>
            <w:pStyle w:val="8"/>
            <w:tabs>
              <w:tab w:val="right" w:leader="dot" w:pos="8306"/>
              <w:tab w:val="clear" w:pos="8296"/>
            </w:tabs>
          </w:pPr>
          <w:r>
            <w:fldChar w:fldCharType="begin"/>
          </w:r>
          <w:r>
            <w:instrText xml:space="preserve"> HYPERLINK \l "_Toc30273" </w:instrText>
          </w:r>
          <w:r>
            <w:fldChar w:fldCharType="separate"/>
          </w:r>
          <w:r>
            <w:rPr>
              <w:rFonts w:hint="eastAsia" w:ascii="仿宋_GB2312" w:hAnsi="黑体" w:eastAsia="仿宋_GB2312"/>
              <w:szCs w:val="32"/>
            </w:rPr>
            <w:t>六、创新打造城市智能中枢，驱动数据启智赋能</w:t>
          </w:r>
          <w:r>
            <w:tab/>
          </w:r>
          <w:r>
            <w:fldChar w:fldCharType="end"/>
          </w:r>
        </w:p>
        <w:p>
          <w:pPr>
            <w:pStyle w:val="10"/>
            <w:tabs>
              <w:tab w:val="right" w:leader="dot" w:pos="8306"/>
            </w:tabs>
          </w:pPr>
          <w:r>
            <w:fldChar w:fldCharType="begin"/>
          </w:r>
          <w:r>
            <w:instrText xml:space="preserve"> HYPERLINK \l "_Toc10734" </w:instrText>
          </w:r>
          <w:r>
            <w:fldChar w:fldCharType="separate"/>
          </w:r>
          <w:r>
            <w:rPr>
              <w:rFonts w:hint="eastAsia" w:ascii="仿宋_GB2312" w:hAnsi="黑体" w:eastAsia="仿宋_GB2312"/>
            </w:rPr>
            <w:t>（一）深化公共数据整合治理</w:t>
          </w:r>
          <w:r>
            <w:tab/>
          </w:r>
          <w:r>
            <w:fldChar w:fldCharType="end"/>
          </w:r>
        </w:p>
        <w:p>
          <w:pPr>
            <w:pStyle w:val="10"/>
            <w:tabs>
              <w:tab w:val="right" w:leader="dot" w:pos="8306"/>
            </w:tabs>
          </w:pPr>
          <w:r>
            <w:fldChar w:fldCharType="begin"/>
          </w:r>
          <w:r>
            <w:instrText xml:space="preserve"> HYPERLINK \l "_Toc1033" </w:instrText>
          </w:r>
          <w:r>
            <w:fldChar w:fldCharType="separate"/>
          </w:r>
          <w:r>
            <w:rPr>
              <w:rFonts w:hint="eastAsia" w:ascii="仿宋_GB2312" w:hAnsi="黑体" w:eastAsia="仿宋_GB2312"/>
            </w:rPr>
            <w:t>（二）推进公共数据共享开放</w:t>
          </w:r>
          <w:r>
            <w:tab/>
          </w:r>
          <w:r>
            <w:fldChar w:fldCharType="end"/>
          </w:r>
        </w:p>
        <w:p>
          <w:pPr>
            <w:pStyle w:val="10"/>
            <w:tabs>
              <w:tab w:val="right" w:leader="dot" w:pos="8306"/>
            </w:tabs>
          </w:pPr>
          <w:r>
            <w:fldChar w:fldCharType="begin"/>
          </w:r>
          <w:r>
            <w:instrText xml:space="preserve"> HYPERLINK \l "_Toc23812" </w:instrText>
          </w:r>
          <w:r>
            <w:fldChar w:fldCharType="separate"/>
          </w:r>
          <w:r>
            <w:rPr>
              <w:rFonts w:hint="eastAsia" w:ascii="仿宋_GB2312" w:hAnsi="黑体" w:eastAsia="仿宋_GB2312"/>
            </w:rPr>
            <w:t>（三）构建公共技术赋能体系</w:t>
          </w:r>
          <w:r>
            <w:tab/>
          </w:r>
          <w:r>
            <w:fldChar w:fldCharType="end"/>
          </w:r>
        </w:p>
        <w:p>
          <w:pPr>
            <w:pStyle w:val="8"/>
            <w:tabs>
              <w:tab w:val="right" w:leader="dot" w:pos="8306"/>
              <w:tab w:val="clear" w:pos="8296"/>
            </w:tabs>
          </w:pPr>
          <w:r>
            <w:fldChar w:fldCharType="begin"/>
          </w:r>
          <w:r>
            <w:instrText xml:space="preserve"> HYPERLINK \l "_Toc2084" </w:instrText>
          </w:r>
          <w:r>
            <w:fldChar w:fldCharType="separate"/>
          </w:r>
          <w:r>
            <w:rPr>
              <w:rFonts w:hint="eastAsia" w:ascii="仿宋_GB2312" w:hAnsi="黑体" w:eastAsia="仿宋_GB2312"/>
              <w:szCs w:val="32"/>
            </w:rPr>
            <w:t>七、超前布局新型基础设施，强化底层承载能力</w:t>
          </w:r>
          <w:r>
            <w:tab/>
          </w:r>
          <w:r>
            <w:fldChar w:fldCharType="end"/>
          </w:r>
        </w:p>
        <w:p>
          <w:pPr>
            <w:pStyle w:val="10"/>
            <w:tabs>
              <w:tab w:val="right" w:leader="dot" w:pos="8306"/>
            </w:tabs>
          </w:pPr>
          <w:r>
            <w:fldChar w:fldCharType="begin"/>
          </w:r>
          <w:r>
            <w:instrText xml:space="preserve"> HYPERLINK \l "_Toc24766" </w:instrText>
          </w:r>
          <w:r>
            <w:fldChar w:fldCharType="separate"/>
          </w:r>
          <w:r>
            <w:rPr>
              <w:rFonts w:hint="eastAsia" w:ascii="仿宋_GB2312" w:hAnsi="黑体" w:eastAsia="仿宋_GB2312"/>
            </w:rPr>
            <w:t>（一）增强“连接”设施，打造信息高速通道</w:t>
          </w:r>
          <w:r>
            <w:tab/>
          </w:r>
          <w:r>
            <w:fldChar w:fldCharType="end"/>
          </w:r>
        </w:p>
        <w:p>
          <w:pPr>
            <w:pStyle w:val="10"/>
            <w:tabs>
              <w:tab w:val="right" w:leader="dot" w:pos="8306"/>
            </w:tabs>
          </w:pPr>
          <w:r>
            <w:fldChar w:fldCharType="begin"/>
          </w:r>
          <w:r>
            <w:instrText xml:space="preserve"> HYPERLINK \l "_Toc5228" </w:instrText>
          </w:r>
          <w:r>
            <w:fldChar w:fldCharType="separate"/>
          </w:r>
          <w:r>
            <w:rPr>
              <w:rFonts w:hint="eastAsia" w:ascii="仿宋_GB2312" w:hAnsi="黑体" w:eastAsia="仿宋_GB2312"/>
            </w:rPr>
            <w:t>（二）部署“感知”设施，推进全域智联体系</w:t>
          </w:r>
          <w:r>
            <w:tab/>
          </w:r>
          <w:r>
            <w:fldChar w:fldCharType="end"/>
          </w:r>
        </w:p>
        <w:p>
          <w:pPr>
            <w:pStyle w:val="10"/>
            <w:tabs>
              <w:tab w:val="right" w:leader="dot" w:pos="8306"/>
            </w:tabs>
          </w:pPr>
          <w:r>
            <w:fldChar w:fldCharType="begin"/>
          </w:r>
          <w:r>
            <w:instrText xml:space="preserve"> HYPERLINK \l "_Toc7840" </w:instrText>
          </w:r>
          <w:r>
            <w:fldChar w:fldCharType="separate"/>
          </w:r>
          <w:r>
            <w:rPr>
              <w:rFonts w:hint="eastAsia" w:ascii="仿宋_GB2312" w:hAnsi="黑体" w:eastAsia="仿宋_GB2312"/>
            </w:rPr>
            <w:t>（三）协调“存算”设施，创新边云协同一体</w:t>
          </w:r>
          <w:r>
            <w:tab/>
          </w:r>
          <w:r>
            <w:fldChar w:fldCharType="end"/>
          </w:r>
        </w:p>
        <w:p>
          <w:pPr>
            <w:pStyle w:val="10"/>
            <w:tabs>
              <w:tab w:val="right" w:leader="dot" w:pos="8306"/>
            </w:tabs>
          </w:pPr>
          <w:r>
            <w:fldChar w:fldCharType="begin"/>
          </w:r>
          <w:r>
            <w:instrText xml:space="preserve"> HYPERLINK \l "_Toc14142" </w:instrText>
          </w:r>
          <w:r>
            <w:fldChar w:fldCharType="separate"/>
          </w:r>
          <w:r>
            <w:rPr>
              <w:rFonts w:hint="eastAsia" w:ascii="仿宋_GB2312" w:hAnsi="黑体" w:eastAsia="仿宋_GB2312"/>
            </w:rPr>
            <w:t>（四）谋划“前沿”设施，增强技术能力供给</w:t>
          </w:r>
          <w:r>
            <w:tab/>
          </w:r>
          <w:r>
            <w:fldChar w:fldCharType="end"/>
          </w:r>
        </w:p>
        <w:p>
          <w:pPr>
            <w:pStyle w:val="8"/>
            <w:tabs>
              <w:tab w:val="right" w:leader="dot" w:pos="8306"/>
              <w:tab w:val="clear" w:pos="8296"/>
            </w:tabs>
          </w:pPr>
          <w:r>
            <w:fldChar w:fldCharType="begin"/>
          </w:r>
          <w:r>
            <w:instrText xml:space="preserve"> HYPERLINK \l "_Toc4839" </w:instrText>
          </w:r>
          <w:r>
            <w:fldChar w:fldCharType="separate"/>
          </w:r>
          <w:r>
            <w:rPr>
              <w:rFonts w:hint="eastAsia" w:ascii="仿宋_GB2312" w:hAnsi="黑体" w:eastAsia="仿宋_GB2312"/>
              <w:szCs w:val="32"/>
            </w:rPr>
            <w:t>八、统筹构建信息保障体系，确保整体安全高效</w:t>
          </w:r>
          <w:r>
            <w:tab/>
          </w:r>
          <w:r>
            <w:fldChar w:fldCharType="end"/>
          </w:r>
        </w:p>
        <w:p>
          <w:pPr>
            <w:pStyle w:val="10"/>
            <w:tabs>
              <w:tab w:val="right" w:leader="dot" w:pos="8306"/>
            </w:tabs>
          </w:pPr>
          <w:r>
            <w:fldChar w:fldCharType="begin"/>
          </w:r>
          <w:r>
            <w:instrText xml:space="preserve"> HYPERLINK \l "_Toc28109" </w:instrText>
          </w:r>
          <w:r>
            <w:fldChar w:fldCharType="separate"/>
          </w:r>
          <w:r>
            <w:rPr>
              <w:rFonts w:hint="eastAsia" w:ascii="仿宋_GB2312" w:hAnsi="黑体" w:eastAsia="仿宋_GB2312"/>
            </w:rPr>
            <w:t>（一）构筑全面覆盖的网络安全体系</w:t>
          </w:r>
          <w:r>
            <w:tab/>
          </w:r>
          <w:r>
            <w:fldChar w:fldCharType="end"/>
          </w:r>
        </w:p>
        <w:p>
          <w:pPr>
            <w:pStyle w:val="10"/>
            <w:tabs>
              <w:tab w:val="right" w:leader="dot" w:pos="8306"/>
            </w:tabs>
          </w:pPr>
          <w:r>
            <w:fldChar w:fldCharType="begin"/>
          </w:r>
          <w:r>
            <w:instrText xml:space="preserve"> HYPERLINK \l "_Toc14376" </w:instrText>
          </w:r>
          <w:r>
            <w:fldChar w:fldCharType="separate"/>
          </w:r>
          <w:r>
            <w:rPr>
              <w:rFonts w:hint="eastAsia" w:ascii="仿宋_GB2312" w:hAnsi="黑体" w:eastAsia="仿宋_GB2312"/>
            </w:rPr>
            <w:t>（二）构建统筹衔接的标准规范体系</w:t>
          </w:r>
          <w:r>
            <w:tab/>
          </w:r>
          <w:r>
            <w:fldChar w:fldCharType="end"/>
          </w:r>
        </w:p>
        <w:p>
          <w:pPr>
            <w:pStyle w:val="8"/>
            <w:tabs>
              <w:tab w:val="right" w:leader="dot" w:pos="8306"/>
              <w:tab w:val="clear" w:pos="8296"/>
            </w:tabs>
          </w:pPr>
          <w:r>
            <w:fldChar w:fldCharType="begin"/>
          </w:r>
          <w:r>
            <w:instrText xml:space="preserve"> HYPERLINK \l "_Toc6627" </w:instrText>
          </w:r>
          <w:r>
            <w:fldChar w:fldCharType="separate"/>
          </w:r>
          <w:r>
            <w:rPr>
              <w:rFonts w:hint="eastAsia" w:ascii="仿宋_GB2312" w:hAnsi="黑体" w:eastAsia="仿宋_GB2312"/>
              <w:szCs w:val="32"/>
            </w:rPr>
            <w:t>九、全面营造健康发展环境，有效支撑长远发展</w:t>
          </w:r>
          <w:r>
            <w:tab/>
          </w:r>
          <w:r>
            <w:fldChar w:fldCharType="end"/>
          </w:r>
        </w:p>
        <w:p>
          <w:pPr>
            <w:pStyle w:val="10"/>
            <w:tabs>
              <w:tab w:val="right" w:leader="dot" w:pos="8306"/>
            </w:tabs>
          </w:pPr>
          <w:r>
            <w:fldChar w:fldCharType="begin"/>
          </w:r>
          <w:r>
            <w:instrText xml:space="preserve"> HYPERLINK \l "_Toc31868" </w:instrText>
          </w:r>
          <w:r>
            <w:fldChar w:fldCharType="separate"/>
          </w:r>
          <w:r>
            <w:rPr>
              <w:rFonts w:hint="eastAsia" w:ascii="仿宋_GB2312" w:hAnsi="黑体" w:eastAsia="仿宋_GB2312"/>
            </w:rPr>
            <w:t>（一）完善组织实施体系</w:t>
          </w:r>
          <w:r>
            <w:tab/>
          </w:r>
          <w:r>
            <w:fldChar w:fldCharType="end"/>
          </w:r>
        </w:p>
        <w:p>
          <w:pPr>
            <w:pStyle w:val="10"/>
            <w:tabs>
              <w:tab w:val="right" w:leader="dot" w:pos="8306"/>
            </w:tabs>
          </w:pPr>
          <w:r>
            <w:fldChar w:fldCharType="begin"/>
          </w:r>
          <w:r>
            <w:instrText xml:space="preserve"> HYPERLINK \l "_Toc7876" </w:instrText>
          </w:r>
          <w:r>
            <w:fldChar w:fldCharType="separate"/>
          </w:r>
          <w:r>
            <w:rPr>
              <w:rFonts w:hint="eastAsia" w:ascii="仿宋_GB2312" w:hAnsi="黑体" w:eastAsia="仿宋_GB2312"/>
            </w:rPr>
            <w:t>（二）优化项目管理机制</w:t>
          </w:r>
          <w:r>
            <w:tab/>
          </w:r>
          <w:r>
            <w:fldChar w:fldCharType="end"/>
          </w:r>
        </w:p>
        <w:p>
          <w:pPr>
            <w:pStyle w:val="10"/>
            <w:tabs>
              <w:tab w:val="right" w:leader="dot" w:pos="8306"/>
            </w:tabs>
          </w:pPr>
          <w:r>
            <w:fldChar w:fldCharType="begin"/>
          </w:r>
          <w:r>
            <w:instrText xml:space="preserve"> HYPERLINK \l "_Toc30051" </w:instrText>
          </w:r>
          <w:r>
            <w:fldChar w:fldCharType="separate"/>
          </w:r>
          <w:r>
            <w:rPr>
              <w:rFonts w:hint="eastAsia" w:ascii="仿宋_GB2312" w:hAnsi="黑体" w:eastAsia="仿宋_GB2312"/>
            </w:rPr>
            <w:t>（三）提高资金使用绩效</w:t>
          </w:r>
          <w:r>
            <w:tab/>
          </w:r>
          <w:r>
            <w:fldChar w:fldCharType="end"/>
          </w:r>
        </w:p>
        <w:p>
          <w:pPr>
            <w:pStyle w:val="10"/>
            <w:tabs>
              <w:tab w:val="right" w:leader="dot" w:pos="8306"/>
            </w:tabs>
          </w:pPr>
          <w:r>
            <w:fldChar w:fldCharType="begin"/>
          </w:r>
          <w:r>
            <w:instrText xml:space="preserve"> HYPERLINK \l "_Toc9745" </w:instrText>
          </w:r>
          <w:r>
            <w:fldChar w:fldCharType="separate"/>
          </w:r>
          <w:r>
            <w:rPr>
              <w:rFonts w:hint="eastAsia" w:ascii="仿宋_GB2312" w:hAnsi="黑体" w:eastAsia="仿宋_GB2312"/>
            </w:rPr>
            <w:t>（四）强化考核评价机制</w:t>
          </w:r>
          <w:r>
            <w:tab/>
          </w:r>
          <w:r>
            <w:fldChar w:fldCharType="end"/>
          </w:r>
        </w:p>
        <w:p>
          <w:pPr>
            <w:pStyle w:val="10"/>
            <w:tabs>
              <w:tab w:val="right" w:leader="dot" w:pos="8306"/>
            </w:tabs>
          </w:pPr>
          <w:r>
            <w:fldChar w:fldCharType="begin"/>
          </w:r>
          <w:r>
            <w:instrText xml:space="preserve"> HYPERLINK \l "_Toc28563" </w:instrText>
          </w:r>
          <w:r>
            <w:fldChar w:fldCharType="separate"/>
          </w:r>
          <w:r>
            <w:rPr>
              <w:rFonts w:hint="eastAsia" w:ascii="仿宋_GB2312" w:hAnsi="黑体" w:eastAsia="仿宋_GB2312"/>
            </w:rPr>
            <w:t>（五）加大人才培训合作</w:t>
          </w:r>
          <w:r>
            <w:tab/>
          </w:r>
          <w:r>
            <w:fldChar w:fldCharType="end"/>
          </w:r>
        </w:p>
        <w:p>
          <w:pPr>
            <w:pStyle w:val="10"/>
            <w:tabs>
              <w:tab w:val="right" w:leader="dot" w:pos="8296"/>
            </w:tabs>
            <w:rPr>
              <w:rFonts w:ascii="仿宋_GB2312" w:eastAsia="仿宋_GB2312"/>
              <w:szCs w:val="28"/>
            </w:rPr>
          </w:pPr>
          <w:r>
            <w:rPr>
              <w:rFonts w:hint="eastAsia" w:ascii="仿宋_GB2312" w:eastAsia="仿宋_GB2312"/>
              <w:szCs w:val="28"/>
            </w:rPr>
            <w:fldChar w:fldCharType="end"/>
          </w:r>
        </w:p>
      </w:sdtContent>
    </w:sdt>
    <w:p>
      <w:pPr>
        <w:pStyle w:val="2"/>
        <w:spacing w:before="0" w:after="0" w:line="160" w:lineRule="atLeast"/>
        <w:rPr>
          <w:rFonts w:ascii="仿宋_GB2312" w:hAnsi="黑体" w:eastAsia="仿宋_GB2312"/>
          <w:sz w:val="32"/>
          <w:szCs w:val="32"/>
        </w:rPr>
        <w:sectPr>
          <w:footerReference r:id="rId5" w:type="default"/>
          <w:pgSz w:w="11906" w:h="16838"/>
          <w:pgMar w:top="1440" w:right="1800" w:bottom="1440" w:left="1800" w:header="851" w:footer="992" w:gutter="0"/>
          <w:pgNumType w:start="1"/>
          <w:cols w:space="425" w:num="1"/>
          <w:docGrid w:type="lines" w:linePitch="312" w:charSpace="0"/>
        </w:sectPr>
      </w:pPr>
      <w:bookmarkStart w:id="7" w:name="_Toc58250508"/>
    </w:p>
    <w:p>
      <w:pPr>
        <w:pStyle w:val="2"/>
        <w:spacing w:before="0" w:after="0" w:line="160" w:lineRule="atLeast"/>
        <w:rPr>
          <w:rFonts w:ascii="仿宋_GB2312" w:hAnsi="黑体" w:eastAsia="仿宋_GB2312"/>
          <w:sz w:val="32"/>
          <w:szCs w:val="32"/>
        </w:rPr>
      </w:pPr>
      <w:bookmarkStart w:id="8" w:name="_Toc1637"/>
      <w:r>
        <w:rPr>
          <w:rFonts w:hint="eastAsia" w:ascii="仿宋_GB2312" w:hAnsi="黑体" w:eastAsia="仿宋_GB2312"/>
          <w:sz w:val="32"/>
          <w:szCs w:val="32"/>
        </w:rPr>
        <w:t>一、充分认识当今变化趋势，把握时代发展机遇</w:t>
      </w:r>
      <w:bookmarkEnd w:id="1"/>
      <w:bookmarkEnd w:id="2"/>
      <w:bookmarkEnd w:id="3"/>
      <w:bookmarkEnd w:id="4"/>
      <w:bookmarkEnd w:id="5"/>
      <w:bookmarkEnd w:id="6"/>
      <w:bookmarkEnd w:id="7"/>
      <w:bookmarkEnd w:id="8"/>
    </w:p>
    <w:p>
      <w:pPr>
        <w:pStyle w:val="3"/>
        <w:spacing w:line="160" w:lineRule="atLeast"/>
        <w:rPr>
          <w:rFonts w:ascii="仿宋_GB2312" w:hAnsi="黑体" w:eastAsia="仿宋_GB2312"/>
          <w:bCs w:val="0"/>
        </w:rPr>
      </w:pPr>
      <w:bookmarkStart w:id="9" w:name="_Toc38801120"/>
      <w:bookmarkStart w:id="10" w:name="_Toc47450101"/>
      <w:bookmarkStart w:id="11" w:name="_Toc12436"/>
      <w:bookmarkStart w:id="12" w:name="_Toc38977977"/>
      <w:bookmarkStart w:id="13" w:name="_Toc47450682"/>
      <w:bookmarkStart w:id="14" w:name="_Toc47450954"/>
      <w:bookmarkStart w:id="15" w:name="_Toc47451063"/>
      <w:bookmarkStart w:id="16" w:name="_Toc58250509"/>
      <w:r>
        <w:rPr>
          <w:rFonts w:hint="eastAsia" w:ascii="仿宋_GB2312" w:hAnsi="黑体" w:eastAsia="仿宋_GB2312"/>
          <w:bCs w:val="0"/>
        </w:rPr>
        <w:t>（一）“十三五”</w:t>
      </w:r>
      <w:bookmarkEnd w:id="9"/>
      <w:r>
        <w:rPr>
          <w:rFonts w:hint="eastAsia" w:ascii="仿宋_GB2312" w:hAnsi="黑体" w:eastAsia="仿宋_GB2312"/>
          <w:bCs w:val="0"/>
        </w:rPr>
        <w:t>期间信息化发展回顾</w:t>
      </w:r>
      <w:bookmarkEnd w:id="10"/>
      <w:bookmarkEnd w:id="11"/>
      <w:bookmarkEnd w:id="12"/>
      <w:bookmarkEnd w:id="13"/>
      <w:bookmarkEnd w:id="14"/>
      <w:bookmarkEnd w:id="15"/>
      <w:bookmarkEnd w:id="16"/>
    </w:p>
    <w:p>
      <w:pPr>
        <w:spacing w:line="160" w:lineRule="atLeast"/>
        <w:ind w:firstLine="640" w:firstLineChars="200"/>
        <w:rPr>
          <w:rFonts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十三五”期间，崇明区紧紧围绕建设世界级生态岛总目标，以《崇明生态岛建设纲要》（2010—2020）为引领，以创建国家生态文明先行示范区为抓手，坚持创新驱动发展，全面实施信息化战略，最大限度释放信息化生产力。信息化应用全面渗透民生保障、城市管理、政府服务等领域，居民生活品质明显改善，城市管理水平不断提升，政务服务效率更加高效；信息化与产业融合持续加深，有力驱动现代绿色农业、全域旅游、船舶与海洋工程装备等特色产业数字化转型发展；信息基础支撑和保障机制不断完善，通信网络、存算资源、物联感知等基础设施综合服务能力显著提高，基本构建起泛在、融合、安全的信息基础支撑体系。</w:t>
      </w:r>
    </w:p>
    <w:p>
      <w:pPr>
        <w:pStyle w:val="4"/>
        <w:spacing w:line="160" w:lineRule="atLeast"/>
        <w:rPr>
          <w:rFonts w:ascii="仿宋_GB2312" w:hAnsi="仿宋_GB2312" w:eastAsia="仿宋_GB2312"/>
          <w:sz w:val="32"/>
          <w:szCs w:val="32"/>
        </w:rPr>
      </w:pPr>
      <w:bookmarkStart w:id="17" w:name="_Toc47450955"/>
      <w:bookmarkStart w:id="18" w:name="_Toc47451064"/>
      <w:r>
        <w:rPr>
          <w:rFonts w:hint="eastAsia" w:ascii="仿宋_GB2312" w:hAnsi="仿宋_GB2312" w:eastAsia="仿宋_GB2312"/>
          <w:sz w:val="32"/>
          <w:szCs w:val="32"/>
        </w:rPr>
        <w:t>信息基础持续优化，支撑能力显著增强</w:t>
      </w:r>
    </w:p>
    <w:p>
      <w:pPr>
        <w:spacing w:line="160" w:lineRule="atLeast"/>
        <w:ind w:firstLine="640" w:firstLineChars="200"/>
        <w:rPr>
          <w:rFonts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物联感知、通信网络、存算资源等基础设施综合服务能力显著提高。</w:t>
      </w:r>
      <w:r>
        <w:rPr>
          <w:rFonts w:hint="eastAsia" w:ascii="仿宋_GB2312" w:hAnsi="仿宋_GB2312" w:eastAsia="仿宋_GB2312"/>
          <w:b/>
          <w:sz w:val="32"/>
          <w:szCs w:val="32"/>
          <w:shd w:val="clear" w:color="auto" w:fill="FFFFFF"/>
        </w:rPr>
        <w:t>感知终端方面，</w:t>
      </w:r>
      <w:r>
        <w:rPr>
          <w:rFonts w:hint="eastAsia" w:ascii="仿宋_GB2312" w:hAnsi="仿宋_GB2312" w:eastAsia="仿宋_GB2312"/>
          <w:sz w:val="32"/>
          <w:szCs w:val="32"/>
          <w:shd w:val="clear" w:color="auto" w:fill="FFFFFF"/>
        </w:rPr>
        <w:t>以雪亮工程、智慧公安建设为抓手，建设了视频前端和物联感知前端，实现了崇明区重点区域、场所感知端覆盖，但目前物联终端部署分散，未来融合是巨大挑战。</w:t>
      </w:r>
      <w:r>
        <w:rPr>
          <w:rFonts w:hint="eastAsia" w:ascii="仿宋_GB2312" w:hAnsi="仿宋_GB2312" w:eastAsia="仿宋_GB2312"/>
          <w:b/>
          <w:sz w:val="32"/>
          <w:szCs w:val="32"/>
          <w:shd w:val="clear" w:color="auto" w:fill="FFFFFF"/>
        </w:rPr>
        <w:t>通信网络方面，</w:t>
      </w:r>
      <w:r>
        <w:rPr>
          <w:rFonts w:hint="eastAsia" w:ascii="仿宋_GB2312" w:hAnsi="仿宋_GB2312" w:eastAsia="仿宋_GB2312"/>
          <w:sz w:val="32"/>
          <w:szCs w:val="32"/>
          <w:shd w:val="clear" w:color="auto" w:fill="FFFFFF"/>
        </w:rPr>
        <w:t>推进农村地区千兆光纤接入能力全覆盖，实现全区千兆光纤覆盖能力达30万户，城域网出口带宽达500Gbps，固网平均速率100Mbps，移动网络平均速率30Mbps。5G建设抢得先机，累计建成宏基站1823个，基本实现崇明三岛5G信号的基础全覆盖。随着各部门对业务需求的不断拓展，现有政务网络带宽、速率等能级有待进一步提升。</w:t>
      </w:r>
      <w:r>
        <w:rPr>
          <w:rFonts w:hint="eastAsia" w:ascii="仿宋_GB2312" w:hAnsi="仿宋_GB2312" w:eastAsia="仿宋_GB2312"/>
          <w:b/>
          <w:sz w:val="32"/>
          <w:szCs w:val="32"/>
          <w:shd w:val="clear" w:color="auto" w:fill="FFFFFF"/>
        </w:rPr>
        <w:t>电子政务云方面，</w:t>
      </w:r>
      <w:r>
        <w:rPr>
          <w:rFonts w:hint="eastAsia" w:ascii="仿宋_GB2312" w:hAnsi="仿宋_GB2312" w:eastAsia="仿宋_GB2312"/>
          <w:sz w:val="32"/>
          <w:szCs w:val="32"/>
          <w:shd w:val="clear" w:color="auto" w:fill="FFFFFF"/>
        </w:rPr>
        <w:t>自2016年建设以来，有效推动计算资源、存储资源、网络资源、数据灾备、安全保障、运维服务等基础设施的共享共用，实现全区电子政务建设和运行维护成本的全面降低，从“建设云”向“驾驭云”阶段逐步转变。</w:t>
      </w:r>
    </w:p>
    <w:p>
      <w:pPr>
        <w:pStyle w:val="4"/>
        <w:spacing w:line="160" w:lineRule="atLeast"/>
        <w:rPr>
          <w:rFonts w:ascii="仿宋_GB2312" w:hAnsi="仿宋_GB2312" w:eastAsia="仿宋_GB2312"/>
          <w:sz w:val="32"/>
          <w:szCs w:val="32"/>
        </w:rPr>
      </w:pPr>
      <w:bookmarkStart w:id="19" w:name="_Toc47450956"/>
      <w:bookmarkStart w:id="20" w:name="_Toc47451065"/>
      <w:r>
        <w:rPr>
          <w:rFonts w:hint="eastAsia" w:ascii="仿宋_GB2312" w:hAnsi="仿宋_GB2312" w:eastAsia="仿宋_GB2312"/>
          <w:sz w:val="32"/>
          <w:szCs w:val="32"/>
        </w:rPr>
        <w:t>城市治理加快推进，管理模式更加精细</w:t>
      </w:r>
      <w:bookmarkEnd w:id="19"/>
      <w:bookmarkEnd w:id="20"/>
    </w:p>
    <w:p>
      <w:pPr>
        <w:spacing w:line="160" w:lineRule="atLeast"/>
        <w:ind w:firstLine="643" w:firstLineChars="200"/>
        <w:rPr>
          <w:rFonts w:ascii="仿宋_GB2312" w:hAnsi="仿宋_GB2312" w:eastAsia="仿宋_GB2312"/>
          <w:sz w:val="32"/>
          <w:szCs w:val="32"/>
        </w:rPr>
      </w:pPr>
      <w:r>
        <w:rPr>
          <w:rFonts w:hint="eastAsia" w:ascii="仿宋_GB2312" w:hAnsi="仿宋_GB2312" w:eastAsia="仿宋_GB2312"/>
          <w:b/>
          <w:sz w:val="32"/>
          <w:szCs w:val="32"/>
        </w:rPr>
        <w:t>综合管理方面，</w:t>
      </w:r>
      <w:r>
        <w:rPr>
          <w:rFonts w:hint="eastAsia" w:ascii="仿宋_GB2312" w:hAnsi="仿宋_GB2312" w:eastAsia="仿宋_GB2312"/>
          <w:sz w:val="32"/>
          <w:szCs w:val="32"/>
        </w:rPr>
        <w:t>打造了崇明城乡智能管理平台，围绕“社会治理、应急管理、生态治理、经济管理、农业管理”5大主题，建成了“网格管理、社会综治、市容管理、交通管理、客流管理、村居管理、应急管理、防汛防台、生态监测、水系管理、市场监管、房地管理、智慧农业”等13大专题模块，有效提升城市综合管理能力</w:t>
      </w:r>
      <w:r>
        <w:rPr>
          <w:rStyle w:val="14"/>
          <w:rFonts w:hint="eastAsia" w:ascii="仿宋_GB2312" w:hAnsi="仿宋_GB2312" w:eastAsia="仿宋_GB2312"/>
          <w:sz w:val="32"/>
          <w:szCs w:val="32"/>
        </w:rPr>
        <w:footnoteReference w:id="0"/>
      </w:r>
      <w:r>
        <w:rPr>
          <w:rFonts w:hint="eastAsia" w:ascii="仿宋_GB2312" w:hAnsi="仿宋_GB2312" w:eastAsia="仿宋_GB2312"/>
          <w:sz w:val="32"/>
          <w:szCs w:val="32"/>
        </w:rPr>
        <w:t>。但各专题模块纵向与乡镇、横向与条线部门的数据共享尚未完全打通，条块联动有待加强。</w:t>
      </w:r>
      <w:r>
        <w:rPr>
          <w:rFonts w:hint="eastAsia" w:ascii="仿宋_GB2312" w:hAnsi="仿宋_GB2312" w:eastAsia="仿宋_GB2312"/>
          <w:b/>
          <w:bCs/>
          <w:sz w:val="32"/>
          <w:szCs w:val="32"/>
        </w:rPr>
        <w:t>城市规划建设方面</w:t>
      </w:r>
      <w:r>
        <w:rPr>
          <w:rFonts w:hint="eastAsia" w:ascii="仿宋_GB2312" w:hAnsi="仿宋_GB2312" w:eastAsia="仿宋_GB2312"/>
          <w:sz w:val="32"/>
          <w:szCs w:val="32"/>
        </w:rPr>
        <w:t>，崇明规土数据管理平台、区地名地址综合服务平台统一纳入智慧国土管控平台，有力支撑国土空间规划编制、审批、实施与监督的全业务环节，但业务协同、全流程闭环管理方面尚存在难度。</w:t>
      </w:r>
      <w:r>
        <w:rPr>
          <w:rFonts w:hint="eastAsia" w:ascii="仿宋_GB2312" w:hAnsi="仿宋_GB2312" w:eastAsia="仿宋_GB2312"/>
          <w:b/>
          <w:sz w:val="32"/>
          <w:szCs w:val="32"/>
        </w:rPr>
        <w:t>基层治理方面，</w:t>
      </w:r>
      <w:r>
        <w:rPr>
          <w:rFonts w:hint="eastAsia" w:ascii="仿宋_GB2312" w:hAnsi="仿宋_GB2312" w:eastAsia="仿宋_GB2312"/>
          <w:sz w:val="32"/>
          <w:szCs w:val="32"/>
        </w:rPr>
        <w:t>充分利用电视网络全覆盖城乡家庭的资源优势，建立了村务公开电视信息系统，推动了基层管理与服务水平的提升，并且预留了居家养老、远程医疗、农事服务等多系统接入接口。</w:t>
      </w:r>
      <w:r>
        <w:rPr>
          <w:rFonts w:hint="eastAsia" w:ascii="仿宋_GB2312" w:hAnsi="仿宋_GB2312" w:eastAsia="仿宋_GB2312"/>
          <w:b/>
          <w:sz w:val="32"/>
          <w:szCs w:val="32"/>
        </w:rPr>
        <w:t>生态治理方面，</w:t>
      </w:r>
      <w:r>
        <w:rPr>
          <w:rFonts w:hint="eastAsia" w:ascii="仿宋_GB2312" w:hAnsi="仿宋_GB2312" w:eastAsia="仿宋_GB2312"/>
          <w:sz w:val="32"/>
          <w:szCs w:val="32"/>
        </w:rPr>
        <w:t>通过推进城乡气象体征智能感知、生态环境监测评估预警、城乡智慧气象信息服务、分布式污水处理综合监管、智慧海塘、全岛水位、水质实时监控等一批信息化应用建设，初步形成崇明生态智联体系。重点打造了横沙生态智联实践区，建成“物联、数联、智联”三位一体的生态地标和先行示范，实现横沙乡水气林土的全面实时监测。但当前生态数据的感知“颗粒度”不高，还缺乏污染源与环境质量、生态状况的关联分析。</w:t>
      </w:r>
      <w:r>
        <w:rPr>
          <w:rFonts w:hint="eastAsia" w:ascii="仿宋_GB2312" w:hAnsi="仿宋_GB2312" w:eastAsia="仿宋_GB2312"/>
          <w:b/>
          <w:sz w:val="32"/>
          <w:szCs w:val="32"/>
        </w:rPr>
        <w:t>交通管理方面</w:t>
      </w:r>
      <w:r>
        <w:rPr>
          <w:rStyle w:val="14"/>
          <w:rFonts w:hint="eastAsia" w:ascii="仿宋_GB2312" w:hAnsi="仿宋_GB2312" w:eastAsia="仿宋_GB2312"/>
          <w:bCs/>
          <w:sz w:val="32"/>
          <w:szCs w:val="32"/>
        </w:rPr>
        <w:footnoteReference w:id="1"/>
      </w:r>
      <w:r>
        <w:rPr>
          <w:rFonts w:hint="eastAsia" w:ascii="仿宋_GB2312" w:hAnsi="仿宋_GB2312" w:eastAsia="仿宋_GB2312"/>
          <w:b/>
          <w:sz w:val="32"/>
          <w:szCs w:val="32"/>
        </w:rPr>
        <w:t>，</w:t>
      </w:r>
      <w:bookmarkStart w:id="21" w:name="_Hlk47960167"/>
      <w:r>
        <w:rPr>
          <w:rFonts w:hint="eastAsia" w:ascii="仿宋_GB2312" w:hAnsi="仿宋_GB2312" w:eastAsia="仿宋_GB2312"/>
          <w:bCs/>
          <w:sz w:val="32"/>
          <w:szCs w:val="32"/>
        </w:rPr>
        <w:t>绿色交通有序推进，公交新能源化持续实施，</w:t>
      </w:r>
      <w:r>
        <w:rPr>
          <w:rFonts w:hint="eastAsia" w:ascii="仿宋_GB2312" w:hAnsi="仿宋_GB2312" w:eastAsia="仿宋_GB2312"/>
          <w:sz w:val="32"/>
          <w:szCs w:val="32"/>
        </w:rPr>
        <w:t>公共交通智能化应用项目</w:t>
      </w:r>
      <w:r>
        <w:rPr>
          <w:rStyle w:val="14"/>
          <w:rFonts w:hint="eastAsia" w:ascii="仿宋_GB2312" w:hAnsi="仿宋_GB2312" w:eastAsia="仿宋_GB2312"/>
          <w:sz w:val="32"/>
          <w:szCs w:val="32"/>
        </w:rPr>
        <w:footnoteReference w:id="2"/>
      </w:r>
      <w:r>
        <w:rPr>
          <w:rFonts w:hint="eastAsia" w:ascii="仿宋_GB2312" w:hAnsi="仿宋_GB2312" w:eastAsia="仿宋_GB2312"/>
          <w:sz w:val="32"/>
          <w:szCs w:val="32"/>
        </w:rPr>
        <w:t>完成建设，有效提升公共交通运行管理效能。通过内河水上移动风险源监控系统以及航道监管信息化建设，基本实现崇明重要航段水域视频监控覆盖，积极探索新型水运监管模式。</w:t>
      </w:r>
      <w:bookmarkEnd w:id="21"/>
      <w:r>
        <w:rPr>
          <w:rFonts w:hint="eastAsia" w:ascii="仿宋_GB2312" w:hAnsi="仿宋_GB2312" w:eastAsia="仿宋_GB2312"/>
          <w:sz w:val="32"/>
          <w:szCs w:val="32"/>
        </w:rPr>
        <w:t>部署建设交通流量态势感知系统，根据卡口数据掌握交通流情况，采取相应管控措施，提升长江隧桥等重要通道通行效率。由于目前监控点位密度不高，违法行为监控、抓拍等业务支撑不足，平台尚不具备互联、分析、预测等功能。</w:t>
      </w:r>
      <w:r>
        <w:rPr>
          <w:rFonts w:hint="eastAsia" w:ascii="仿宋_GB2312" w:hAnsi="仿宋_GB2312" w:eastAsia="仿宋_GB2312"/>
          <w:b/>
          <w:bCs/>
          <w:sz w:val="32"/>
          <w:szCs w:val="32"/>
        </w:rPr>
        <w:t>市场监管方面</w:t>
      </w:r>
      <w:r>
        <w:rPr>
          <w:rFonts w:hint="eastAsia" w:ascii="仿宋_GB2312" w:hAnsi="仿宋_GB2312" w:eastAsia="仿宋_GB2312"/>
          <w:sz w:val="32"/>
          <w:szCs w:val="32"/>
        </w:rPr>
        <w:t>，</w:t>
      </w:r>
      <w:bookmarkStart w:id="22" w:name="_Hlk47960379"/>
      <w:r>
        <w:rPr>
          <w:rFonts w:hint="eastAsia" w:ascii="仿宋_GB2312" w:hAnsi="仿宋_GB2312" w:eastAsia="仿宋_GB2312"/>
          <w:sz w:val="32"/>
          <w:szCs w:val="32"/>
        </w:rPr>
        <w:t>推进了“互联网+监管”平台</w:t>
      </w:r>
      <w:r>
        <w:rPr>
          <w:rStyle w:val="14"/>
          <w:rFonts w:hint="eastAsia" w:ascii="仿宋_GB2312" w:hAnsi="仿宋_GB2312" w:eastAsia="仿宋_GB2312"/>
          <w:sz w:val="32"/>
          <w:szCs w:val="32"/>
        </w:rPr>
        <w:footnoteReference w:id="3"/>
      </w:r>
      <w:r>
        <w:rPr>
          <w:rFonts w:hint="eastAsia" w:ascii="仿宋_GB2312" w:hAnsi="仿宋_GB2312" w:eastAsia="仿宋_GB2312"/>
          <w:sz w:val="32"/>
          <w:szCs w:val="32"/>
        </w:rPr>
        <w:t>、“一窗通”服务平台、农村自办宴席监管系统、智慧菜场大屏等一批信息化应用，借助零售药房特殊药品监管系统、崇明食品药品检验所LIMS信息系统，显著加强了面向企业注册注销与食药安全方面的监管能力。综合应用安全生产综合管理信息系统，有效保障了重点企业安全生产的风险监控与隐患排查。</w:t>
      </w:r>
      <w:bookmarkEnd w:id="22"/>
      <w:r>
        <w:rPr>
          <w:rFonts w:hint="eastAsia" w:ascii="仿宋_GB2312" w:hAnsi="仿宋_GB2312" w:eastAsia="仿宋_GB2312"/>
          <w:sz w:val="32"/>
          <w:szCs w:val="32"/>
        </w:rPr>
        <w:t>但各监管应用系统独立运行缺乏交互，难以实现协同、联合监管，导致监管效率不高。</w:t>
      </w:r>
      <w:r>
        <w:rPr>
          <w:rFonts w:hint="eastAsia" w:ascii="仿宋_GB2312" w:hAnsi="仿宋_GB2312" w:eastAsia="仿宋_GB2312"/>
          <w:b/>
          <w:bCs/>
          <w:sz w:val="32"/>
          <w:szCs w:val="32"/>
        </w:rPr>
        <w:t>市容绿化管理方面</w:t>
      </w:r>
      <w:r>
        <w:rPr>
          <w:rFonts w:hint="eastAsia" w:ascii="仿宋_GB2312" w:hAnsi="仿宋_GB2312" w:eastAsia="仿宋_GB2312"/>
          <w:sz w:val="32"/>
          <w:szCs w:val="32"/>
        </w:rPr>
        <w:t>，</w:t>
      </w:r>
      <w:bookmarkStart w:id="23" w:name="_Hlk47960541"/>
      <w:r>
        <w:rPr>
          <w:rFonts w:hint="eastAsia" w:ascii="仿宋_GB2312" w:hAnsi="仿宋_GB2312" w:eastAsia="仿宋_GB2312"/>
          <w:sz w:val="32"/>
          <w:szCs w:val="32"/>
        </w:rPr>
        <w:t>通过智慧环卫管理平台建设，实现了对全区18个乡镇的21个湿垃圾处置站点的视频监控、湿垃圾称重监控、湿垃圾在线可视化等管理功能，有效提升了垃圾处置监管实效，促进了崇明城市环境质量不断优化。</w:t>
      </w:r>
      <w:bookmarkEnd w:id="17"/>
      <w:bookmarkEnd w:id="18"/>
      <w:bookmarkEnd w:id="23"/>
    </w:p>
    <w:p>
      <w:pPr>
        <w:pStyle w:val="4"/>
        <w:spacing w:line="160" w:lineRule="atLeast"/>
        <w:rPr>
          <w:rFonts w:ascii="仿宋_GB2312" w:hAnsi="仿宋_GB2312" w:eastAsia="仿宋_GB2312"/>
          <w:sz w:val="32"/>
          <w:szCs w:val="32"/>
        </w:rPr>
      </w:pPr>
      <w:bookmarkStart w:id="24" w:name="_Toc47451066"/>
      <w:bookmarkStart w:id="25" w:name="_Toc47450957"/>
      <w:r>
        <w:rPr>
          <w:rFonts w:hint="eastAsia" w:ascii="仿宋_GB2312" w:hAnsi="仿宋_GB2312" w:eastAsia="仿宋_GB2312"/>
          <w:sz w:val="32"/>
          <w:szCs w:val="32"/>
        </w:rPr>
        <w:t>民生服务持续拓展，生活品质有效改善</w:t>
      </w:r>
      <w:bookmarkEnd w:id="24"/>
      <w:bookmarkEnd w:id="25"/>
    </w:p>
    <w:p>
      <w:pPr>
        <w:spacing w:line="160" w:lineRule="atLeas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医疗健康方面</w:t>
      </w:r>
      <w:r>
        <w:rPr>
          <w:rFonts w:hint="eastAsia" w:ascii="仿宋_GB2312" w:hAnsi="仿宋_GB2312" w:eastAsia="仿宋_GB2312"/>
          <w:sz w:val="32"/>
          <w:szCs w:val="32"/>
        </w:rPr>
        <w:t>，</w:t>
      </w:r>
      <w:bookmarkStart w:id="26" w:name="_Hlk47960588"/>
      <w:r>
        <w:rPr>
          <w:rFonts w:hint="eastAsia" w:ascii="仿宋_GB2312" w:hAnsi="仿宋_GB2312" w:eastAsia="仿宋_GB2312"/>
          <w:sz w:val="32"/>
          <w:szCs w:val="32"/>
        </w:rPr>
        <w:t>建设了区域卫生信息平台，有效联通起各个医疗卫生机构，实现全区卫生领域数据的整合与共享，居民电子健康档案</w:t>
      </w:r>
      <w:r>
        <w:rPr>
          <w:rStyle w:val="14"/>
          <w:rFonts w:hint="eastAsia" w:ascii="仿宋_GB2312" w:hAnsi="仿宋_GB2312" w:eastAsia="仿宋_GB2312"/>
          <w:sz w:val="32"/>
          <w:szCs w:val="32"/>
        </w:rPr>
        <w:footnoteReference w:id="4"/>
      </w:r>
      <w:r>
        <w:rPr>
          <w:rFonts w:hint="eastAsia" w:ascii="仿宋_GB2312" w:hAnsi="仿宋_GB2312" w:eastAsia="仿宋_GB2312"/>
          <w:sz w:val="32"/>
          <w:szCs w:val="32"/>
        </w:rPr>
        <w:t>、电子病历、分诊叫号等一批医疗信息应用运行良好。</w:t>
      </w:r>
      <w:bookmarkEnd w:id="26"/>
      <w:r>
        <w:rPr>
          <w:rFonts w:hint="eastAsia" w:ascii="仿宋_GB2312" w:hAnsi="仿宋_GB2312" w:eastAsia="仿宋_GB2312"/>
          <w:sz w:val="32"/>
          <w:szCs w:val="32"/>
        </w:rPr>
        <w:t>依托崇明区医疗云平台建设，有力支撑新华-崇明区域紧密型医疗联合体升级发展。</w:t>
      </w:r>
      <w:r>
        <w:rPr>
          <w:rFonts w:hint="eastAsia" w:ascii="仿宋_GB2312" w:hAnsi="仿宋_GB2312" w:eastAsia="仿宋_GB2312"/>
          <w:b/>
          <w:bCs/>
          <w:sz w:val="32"/>
          <w:szCs w:val="32"/>
        </w:rPr>
        <w:t>教育服务方面，</w:t>
      </w:r>
      <w:r>
        <w:rPr>
          <w:rFonts w:hint="eastAsia" w:ascii="仿宋_GB2312" w:hAnsi="仿宋_GB2312" w:eastAsia="仿宋_GB2312"/>
          <w:sz w:val="32"/>
          <w:szCs w:val="32"/>
        </w:rPr>
        <w:t>进一步夯实教育专网、教育数据中心等基础设施，初步形成教育基础数据的归属管理与共享机制。全面深化学校特色信息化应用建设，建有崇明区教育综合服务平台</w:t>
      </w:r>
      <w:r>
        <w:rPr>
          <w:rStyle w:val="14"/>
          <w:rFonts w:hint="eastAsia" w:ascii="仿宋_GB2312" w:hAnsi="仿宋_GB2312" w:eastAsia="仿宋_GB2312"/>
          <w:sz w:val="32"/>
          <w:szCs w:val="32"/>
        </w:rPr>
        <w:footnoteReference w:id="5"/>
      </w:r>
      <w:r>
        <w:rPr>
          <w:rFonts w:hint="eastAsia" w:ascii="仿宋_GB2312" w:hAnsi="仿宋_GB2312" w:eastAsia="仿宋_GB2312"/>
          <w:sz w:val="32"/>
          <w:szCs w:val="32"/>
        </w:rPr>
        <w:t>、绿色教育资源库、幼儿健康监测分析平台、青少年校外教育管理与移动服务平台；试点推进崇明教育信息化标杆学校建设。但基础设施及设备还需完善，信息化创新应用不足，学校间差距明显。</w:t>
      </w:r>
      <w:r>
        <w:rPr>
          <w:rFonts w:hint="eastAsia" w:ascii="仿宋_GB2312" w:hAnsi="仿宋_GB2312" w:eastAsia="仿宋_GB2312"/>
          <w:b/>
          <w:bCs/>
          <w:sz w:val="32"/>
          <w:szCs w:val="32"/>
        </w:rPr>
        <w:t>养老服务方面</w:t>
      </w:r>
      <w:r>
        <w:rPr>
          <w:rFonts w:hint="eastAsia" w:ascii="仿宋_GB2312" w:hAnsi="仿宋_GB2312" w:eastAsia="仿宋_GB2312"/>
          <w:sz w:val="32"/>
          <w:szCs w:val="32"/>
        </w:rPr>
        <w:t>，打造了综合为老服务平台，为全区各年龄段老年人提供清晰、规范的养老服务设施信息查询、发布等基础服务功能。</w:t>
      </w:r>
      <w:bookmarkStart w:id="27" w:name="_Hlk47960704"/>
      <w:r>
        <w:rPr>
          <w:rFonts w:hint="eastAsia" w:ascii="仿宋_GB2312" w:hAnsi="仿宋_GB2312" w:eastAsia="仿宋_GB2312"/>
          <w:sz w:val="32"/>
          <w:szCs w:val="32"/>
        </w:rPr>
        <w:t>通过</w:t>
      </w:r>
      <w:r>
        <w:rPr>
          <w:rFonts w:hint="eastAsia" w:ascii="仿宋_GB2312" w:hAnsi="仿宋_GB2312" w:eastAsia="仿宋_GB2312" w:cs="仿宋_GB2312"/>
          <w:sz w:val="32"/>
          <w:szCs w:val="32"/>
        </w:rPr>
        <w:t>“智慧健康小屋”工程，进行健康数据的统计、监测和分析，</w:t>
      </w:r>
      <w:bookmarkEnd w:id="27"/>
      <w:r>
        <w:rPr>
          <w:rFonts w:hint="eastAsia" w:ascii="仿宋_GB2312" w:hAnsi="仿宋_GB2312" w:eastAsia="仿宋_GB2312" w:cs="仿宋_GB2312"/>
          <w:sz w:val="32"/>
          <w:szCs w:val="32"/>
        </w:rPr>
        <w:t>为民众提供有针对性的健康、运动处方。但崇明区养老服务资源分部还不均衡，需求难以满足。</w:t>
      </w:r>
      <w:r>
        <w:rPr>
          <w:rFonts w:hint="eastAsia" w:ascii="仿宋_GB2312" w:hAnsi="仿宋_GB2312" w:eastAsia="仿宋_GB2312" w:cs="仿宋_GB2312"/>
          <w:b/>
          <w:bCs/>
          <w:sz w:val="32"/>
          <w:szCs w:val="32"/>
        </w:rPr>
        <w:t>人才就业保障服务</w:t>
      </w:r>
      <w:r>
        <w:rPr>
          <w:rFonts w:hint="eastAsia" w:ascii="仿宋_GB2312" w:hAnsi="仿宋_GB2312" w:eastAsia="仿宋_GB2312"/>
          <w:b/>
          <w:bCs/>
          <w:sz w:val="32"/>
          <w:szCs w:val="32"/>
        </w:rPr>
        <w:t>方面，</w:t>
      </w:r>
      <w:r>
        <w:rPr>
          <w:rFonts w:hint="eastAsia" w:ascii="仿宋_GB2312" w:hAnsi="仿宋_GB2312" w:eastAsia="仿宋_GB2312" w:cs="仿宋_GB2312"/>
          <w:sz w:val="32"/>
          <w:szCs w:val="32"/>
        </w:rPr>
        <w:t>依托就业保障E本通、就业补贴审核监管系统及“崇明人才”、“i崇创空间”、“崇明人社”等在线新媒体平台，畅通了就业创业服务渠道，加强了就业帮扶支持能力，但基于人社保障方面海量数据的分析应用有待提升。</w:t>
      </w:r>
      <w:r>
        <w:rPr>
          <w:rFonts w:hint="eastAsia" w:ascii="仿宋_GB2312" w:hAnsi="仿宋_GB2312" w:eastAsia="仿宋_GB2312"/>
          <w:b/>
          <w:bCs/>
          <w:sz w:val="32"/>
          <w:szCs w:val="32"/>
        </w:rPr>
        <w:t>文化旅游与体育方面</w:t>
      </w:r>
      <w:r>
        <w:rPr>
          <w:rFonts w:hint="eastAsia" w:ascii="仿宋_GB2312" w:hAnsi="仿宋_GB2312" w:eastAsia="仿宋_GB2312"/>
          <w:sz w:val="32"/>
          <w:szCs w:val="32"/>
        </w:rPr>
        <w:t>，基于上海市崇明区图书馆网站的功能完善，市民可享受到新书推荐、公益活动信息发布、数字资源浏览、网上展览等一批在线信息服务。依托“文化云”，</w:t>
      </w:r>
      <w:bookmarkStart w:id="28" w:name="_Hlk47960817"/>
      <w:r>
        <w:rPr>
          <w:rFonts w:hint="eastAsia" w:ascii="仿宋_GB2312" w:hAnsi="仿宋_GB2312" w:eastAsia="仿宋_GB2312"/>
          <w:sz w:val="32"/>
          <w:szCs w:val="32"/>
        </w:rPr>
        <w:t>为崇明市民提供多渠道、一站式数字公共文化服务。</w:t>
      </w:r>
      <w:bookmarkEnd w:id="28"/>
      <w:bookmarkStart w:id="29" w:name="_Hlk47961065"/>
      <w:r>
        <w:rPr>
          <w:rFonts w:hint="eastAsia" w:ascii="仿宋_GB2312" w:hAnsi="仿宋_GB2312" w:eastAsia="仿宋_GB2312"/>
          <w:sz w:val="32"/>
          <w:szCs w:val="32"/>
        </w:rPr>
        <w:t>基于“崇明旅游”、“文化崇明”、“上海市崇明区图书馆”、“崇明美术馆”等一批在线新媒体平台建设，畅通公众获取多类城市文化服务、旅游资讯、文化活动等方面的信息渠道，有力提升崇明城市文化氛围的体验感知度。</w:t>
      </w:r>
      <w:bookmarkEnd w:id="29"/>
      <w:bookmarkStart w:id="30" w:name="_Hlk47961110"/>
      <w:r>
        <w:rPr>
          <w:rFonts w:hint="eastAsia" w:ascii="仿宋_GB2312" w:hAnsi="仿宋_GB2312" w:eastAsia="仿宋_GB2312"/>
          <w:sz w:val="32"/>
          <w:szCs w:val="32"/>
        </w:rPr>
        <w:t>围绕体育赛事，创新实践“5G+马拉松赛事直播”等多场景技术融合应用，有效促进崇明公共文化、体育赛事与旅游资源融合发展。</w:t>
      </w:r>
      <w:bookmarkEnd w:id="30"/>
      <w:r>
        <w:rPr>
          <w:rFonts w:hint="eastAsia" w:ascii="仿宋_GB2312" w:hAnsi="仿宋_GB2312" w:eastAsia="仿宋_GB2312"/>
          <w:sz w:val="32"/>
          <w:szCs w:val="32"/>
        </w:rPr>
        <w:t>当前崇明区文化、旅游、体育间信息尚未打通，资源共享有待提高，缺乏特色示范引领文体旅联动发展。</w:t>
      </w:r>
    </w:p>
    <w:p>
      <w:pPr>
        <w:pStyle w:val="4"/>
        <w:spacing w:line="160" w:lineRule="atLeast"/>
        <w:rPr>
          <w:rFonts w:ascii="仿宋_GB2312" w:hAnsi="仿宋_GB2312" w:eastAsia="仿宋_GB2312"/>
          <w:sz w:val="32"/>
          <w:szCs w:val="32"/>
        </w:rPr>
      </w:pPr>
      <w:bookmarkStart w:id="31" w:name="_Toc47450958"/>
      <w:bookmarkStart w:id="32" w:name="_Toc47451067"/>
      <w:r>
        <w:rPr>
          <w:rFonts w:hint="eastAsia" w:ascii="仿宋_GB2312" w:hAnsi="仿宋_GB2312" w:eastAsia="仿宋_GB2312"/>
          <w:sz w:val="32"/>
          <w:szCs w:val="32"/>
        </w:rPr>
        <w:t>产业融合不断加深，发展动能全面激发</w:t>
      </w:r>
      <w:bookmarkEnd w:id="31"/>
      <w:bookmarkEnd w:id="32"/>
    </w:p>
    <w:p>
      <w:pPr>
        <w:spacing w:line="160" w:lineRule="atLeas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创新载体方面，</w:t>
      </w:r>
      <w:r>
        <w:rPr>
          <w:rFonts w:hint="eastAsia" w:ascii="仿宋_GB2312" w:hAnsi="仿宋_GB2312" w:eastAsia="仿宋_GB2312"/>
          <w:sz w:val="32"/>
          <w:szCs w:val="32"/>
        </w:rPr>
        <w:t>建立了长兴“海洋家”创客基地、智慧岛孵化器、工业园区的离岛孵化器和金宝创业园、富盛园区的“创智产业园”和“基金小镇”、森林园区的“大森林部落”、崇明农业科技创新中心等一批园区特色新型双创平台。由于基础设施支撑能力有限，尚难以满足创新应用需求，高新技术企业数量少，人才引进难，创新应用较为乏力。</w:t>
      </w:r>
      <w:r>
        <w:rPr>
          <w:rFonts w:hint="eastAsia" w:ascii="仿宋_GB2312" w:hAnsi="仿宋_GB2312" w:eastAsia="仿宋_GB2312"/>
          <w:b/>
          <w:bCs/>
          <w:sz w:val="32"/>
          <w:szCs w:val="32"/>
        </w:rPr>
        <w:t>企业服务方面</w:t>
      </w:r>
      <w:r>
        <w:rPr>
          <w:rFonts w:hint="eastAsia" w:ascii="仿宋_GB2312" w:hAnsi="仿宋_GB2312" w:eastAsia="仿宋_GB2312"/>
          <w:sz w:val="32"/>
          <w:szCs w:val="32"/>
        </w:rPr>
        <w:t>，推进中小企业服务平台建设，联通企业服务子平台初步实现了面向重点企业及相关经济数据内容的信息化管理能力，有效响应企业诉求、扶持企业健康发展。但针对不同领域企业发展所需的科技资源、知识产权、政策服务等内容相对分散，服务资源尚不充实，未形成全方位的服务体系。</w:t>
      </w:r>
      <w:r>
        <w:rPr>
          <w:rFonts w:hint="eastAsia" w:ascii="仿宋_GB2312" w:hAnsi="仿宋_GB2312" w:eastAsia="仿宋_GB2312"/>
          <w:b/>
          <w:bCs/>
          <w:sz w:val="32"/>
          <w:szCs w:val="32"/>
        </w:rPr>
        <w:t>农业融合方面，</w:t>
      </w:r>
      <w:r>
        <w:rPr>
          <w:rFonts w:hint="eastAsia" w:ascii="仿宋_GB2312" w:hAnsi="仿宋_GB2312" w:eastAsia="仿宋_GB2312"/>
          <w:sz w:val="32"/>
          <w:szCs w:val="32"/>
        </w:rPr>
        <w:t>打造了基于GIS的</w:t>
      </w:r>
      <w:r>
        <w:rPr>
          <w:rFonts w:hint="eastAsia" w:ascii="仿宋_GB2312" w:hAnsi="仿宋_GB2312" w:eastAsia="仿宋_GB2312" w:cs="仿宋_GB2312"/>
          <w:sz w:val="32"/>
          <w:szCs w:val="32"/>
        </w:rPr>
        <w:t>农业智慧大脑</w:t>
      </w:r>
      <w:r>
        <w:rPr>
          <w:rFonts w:hint="eastAsia" w:ascii="仿宋_GB2312" w:hAnsi="仿宋_GB2312" w:eastAsia="仿宋_GB2312"/>
          <w:sz w:val="32"/>
          <w:szCs w:val="32"/>
        </w:rPr>
        <w:t>，在线可视两无化水稻等农产品种植相关指标数据，充分发挥农业数据中台作用，有效支撑实现了农用地核查管理、涉农监管、农业产销管理等方面的功能应用。</w:t>
      </w:r>
      <w:r>
        <w:rPr>
          <w:rFonts w:hint="eastAsia" w:ascii="仿宋_GB2312" w:hAnsi="仿宋_GB2312" w:eastAsia="仿宋_GB2312" w:cs="仿宋_GB2312"/>
          <w:sz w:val="32"/>
          <w:szCs w:val="32"/>
        </w:rPr>
        <w:t>试点推进了</w:t>
      </w:r>
      <w:r>
        <w:rPr>
          <w:rFonts w:hint="eastAsia" w:ascii="仿宋_GB2312" w:hAnsi="仿宋_GB2312" w:eastAsia="仿宋_GB2312"/>
          <w:sz w:val="32"/>
          <w:szCs w:val="32"/>
        </w:rPr>
        <w:t>5G智慧农机、绿色农药农资的全周期管理、智慧灌溉控制以及水肥一体化等应用场景</w:t>
      </w:r>
      <w:r>
        <w:rPr>
          <w:rFonts w:hint="eastAsia" w:ascii="仿宋_GB2312" w:hAnsi="仿宋_GB2312" w:eastAsia="仿宋_GB2312" w:cs="仿宋_GB2312"/>
          <w:sz w:val="32"/>
          <w:szCs w:val="32"/>
        </w:rPr>
        <w:t>，有效提升崇明农业智能化、精细化水平</w:t>
      </w:r>
      <w:r>
        <w:rPr>
          <w:rFonts w:hint="eastAsia" w:ascii="仿宋_GB2312" w:hAnsi="仿宋_GB2312" w:eastAsia="仿宋_GB2312"/>
          <w:sz w:val="32"/>
          <w:szCs w:val="32"/>
        </w:rPr>
        <w:t>。建成绿色农产品管控系统、农产品溯源系统，探索“互联网+”农业电商模式，有力推进崇明农产品品牌建设。目前崇明区智能化生产装备聚焦于试验基地，尚未全区覆盖，关键基础设施有待进一步推广。</w:t>
      </w:r>
      <w:r>
        <w:rPr>
          <w:rFonts w:hint="eastAsia" w:ascii="仿宋_GB2312" w:hAnsi="仿宋_GB2312" w:eastAsia="仿宋_GB2312"/>
          <w:b/>
          <w:bCs/>
          <w:sz w:val="32"/>
          <w:szCs w:val="32"/>
        </w:rPr>
        <w:t>多旅融合发展方面</w:t>
      </w:r>
      <w:r>
        <w:rPr>
          <w:rFonts w:hint="eastAsia" w:ascii="仿宋_GB2312" w:hAnsi="仿宋_GB2312" w:eastAsia="仿宋_GB2312"/>
          <w:sz w:val="32"/>
          <w:szCs w:val="32"/>
        </w:rPr>
        <w:t>，打造了“趣游崇明”一站式全域旅游服务平台、“住崇明”小程序、“崇明旅游”官方微信公众号等，并创新探索“体旅结合”、“农旅结合”新场景开发，持续挖掘崇明多元化全域旅游资源的价值，推进全域旅游多业态发展。</w:t>
      </w:r>
      <w:r>
        <w:rPr>
          <w:rFonts w:hint="eastAsia" w:ascii="仿宋_GB2312" w:hAnsi="仿宋_GB2312" w:eastAsia="仿宋_GB2312"/>
          <w:b/>
          <w:bCs/>
          <w:sz w:val="32"/>
          <w:szCs w:val="32"/>
        </w:rPr>
        <w:t>智能制造方面</w:t>
      </w:r>
      <w:r>
        <w:rPr>
          <w:rFonts w:hint="eastAsia" w:ascii="仿宋_GB2312" w:hAnsi="仿宋_GB2312" w:eastAsia="仿宋_GB2312"/>
          <w:sz w:val="32"/>
          <w:szCs w:val="32"/>
        </w:rPr>
        <w:t>，聚焦长兴岛产业基础，依托长兴海洋科技港，加强生产智能化改造升级，努力打造船舶与海洋工程装备高端制造品牌。</w:t>
      </w:r>
      <w:r>
        <w:rPr>
          <w:rFonts w:hint="eastAsia" w:ascii="仿宋_GB2312" w:hAnsi="仿宋_GB2312" w:eastAsia="仿宋_GB2312"/>
          <w:b/>
          <w:bCs/>
          <w:sz w:val="32"/>
          <w:szCs w:val="32"/>
        </w:rPr>
        <w:t>全区经济监测运行方面</w:t>
      </w:r>
      <w:r>
        <w:rPr>
          <w:rFonts w:hint="eastAsia" w:ascii="仿宋_GB2312" w:hAnsi="仿宋_GB2312" w:eastAsia="仿宋_GB2312"/>
          <w:sz w:val="32"/>
          <w:szCs w:val="32"/>
        </w:rPr>
        <w:t>，形成崇明区经济与社会发展数据库，依托区经济社会发展综合数据平台，通过数据分析应用为全区产业发展的跨领域融合探索提供支撑。但由于数据目录尚未梳理完成，横向数据共享不全面，垂管部门纵向数据难以沉淀，导致经济数据监测存在一定的偏差。</w:t>
      </w:r>
    </w:p>
    <w:p>
      <w:pPr>
        <w:pStyle w:val="4"/>
        <w:spacing w:line="160" w:lineRule="atLeast"/>
        <w:rPr>
          <w:rFonts w:ascii="仿宋_GB2312" w:hAnsi="仿宋_GB2312" w:eastAsia="仿宋_GB2312"/>
          <w:sz w:val="32"/>
          <w:szCs w:val="32"/>
        </w:rPr>
      </w:pPr>
      <w:bookmarkStart w:id="33" w:name="_Toc47450960"/>
      <w:bookmarkStart w:id="34" w:name="_Toc47451069"/>
      <w:r>
        <w:rPr>
          <w:rFonts w:hint="eastAsia" w:ascii="仿宋_GB2312" w:hAnsi="仿宋_GB2312" w:eastAsia="仿宋_GB2312"/>
          <w:sz w:val="32"/>
          <w:szCs w:val="32"/>
        </w:rPr>
        <w:t>一网通办不断升级，服务效率持续改善</w:t>
      </w:r>
    </w:p>
    <w:p>
      <w:pPr>
        <w:ind w:firstLine="643" w:firstLineChars="200"/>
        <w:rPr>
          <w:rFonts w:ascii="仿宋_GB2312" w:hAnsi="仿宋_GB2312" w:eastAsia="仿宋_GB2312"/>
          <w:bCs/>
          <w:sz w:val="32"/>
          <w:szCs w:val="32"/>
          <w:shd w:val="clear" w:color="auto" w:fill="FFFFFF"/>
        </w:rPr>
      </w:pPr>
      <w:r>
        <w:rPr>
          <w:rFonts w:hint="eastAsia" w:ascii="仿宋_GB2312" w:hAnsi="仿宋_GB2312" w:eastAsia="仿宋_GB2312"/>
          <w:b/>
          <w:sz w:val="32"/>
          <w:szCs w:val="32"/>
          <w:shd w:val="clear" w:color="auto" w:fill="FFFFFF"/>
        </w:rPr>
        <w:t>数据整合归集方面</w:t>
      </w:r>
      <w:r>
        <w:rPr>
          <w:rFonts w:hint="eastAsia" w:ascii="仿宋_GB2312" w:hAnsi="仿宋_GB2312" w:eastAsia="仿宋_GB2312"/>
          <w:bCs/>
          <w:sz w:val="32"/>
          <w:szCs w:val="32"/>
          <w:shd w:val="clear" w:color="auto" w:fill="FFFFFF"/>
        </w:rPr>
        <w:t>，依托崇明区电子政务云平台，实现“法人库”、“人口库”、“公共信用信息平台”、“政府网站群”等基础数据库及重要信息系统纳入统一管理。截止2020年12月，全区共计梳理92家单位的1968个资源目录，成功归集1159个资源目录，包括1809个文件、10个接口和911余万条数据。互联网+政务服务方面，持续提升“一网通办”水平，区行政服务中心大厅进驻事项已实现100%“预约办”“即时办”,本区其他各类政务服务中心计划全部实现“预约”功能。截止2020年12月，2601项依申请类政务服务事项接入“一网通办”，100%的事项实现“最多跑一次”，735项事项实现“零跑动”，集中推出40个“一件事一次办”，所有全市通办事项在区层面全部落地。大力推进电子证照、电子印章应用，实现对全市已归集的电子证照100%调用，“两个免于提交”落地率已经达到98.02%。开通长三角“一网通办”（崇通）专窗系统，30项政务服务事项实现崇、启两地线上线下通办</w:t>
      </w:r>
      <w:r>
        <w:rPr>
          <w:rStyle w:val="14"/>
          <w:rFonts w:hint="eastAsia"/>
          <w:color w:val="FF0000"/>
        </w:rPr>
        <w:footnoteReference w:id="6"/>
      </w:r>
      <w:r>
        <w:rPr>
          <w:rFonts w:hint="eastAsia" w:ascii="仿宋_GB2312" w:hAnsi="仿宋_GB2312" w:eastAsia="仿宋_GB2312"/>
          <w:bCs/>
          <w:sz w:val="32"/>
          <w:szCs w:val="32"/>
          <w:shd w:val="clear" w:color="auto" w:fill="FFFFFF"/>
        </w:rPr>
        <w:t>。保障体系高效完善，基础支撑扎实有力</w:t>
      </w:r>
      <w:bookmarkEnd w:id="33"/>
      <w:bookmarkEnd w:id="34"/>
      <w:r>
        <w:rPr>
          <w:rFonts w:hint="eastAsia" w:ascii="仿宋_GB2312" w:hAnsi="仿宋_GB2312" w:eastAsia="仿宋_GB2312"/>
          <w:bCs/>
          <w:sz w:val="32"/>
          <w:szCs w:val="32"/>
          <w:shd w:val="clear" w:color="auto" w:fill="FFFFFF"/>
        </w:rPr>
        <w:t>。</w:t>
      </w:r>
    </w:p>
    <w:p>
      <w:pPr>
        <w:spacing w:line="160" w:lineRule="atLeast"/>
        <w:ind w:firstLine="643" w:firstLineChars="200"/>
        <w:rPr>
          <w:rFonts w:ascii="仿宋_GB2312" w:hAnsi="仿宋_GB2312" w:eastAsia="仿宋_GB2312"/>
          <w:sz w:val="32"/>
          <w:szCs w:val="32"/>
        </w:rPr>
      </w:pPr>
      <w:r>
        <w:rPr>
          <w:rFonts w:hint="eastAsia" w:ascii="仿宋_GB2312" w:hAnsi="仿宋_GB2312" w:eastAsia="仿宋_GB2312"/>
          <w:b/>
          <w:sz w:val="32"/>
          <w:szCs w:val="32"/>
          <w:shd w:val="clear" w:color="auto" w:fill="FFFFFF"/>
        </w:rPr>
        <w:t>政策法规方面，</w:t>
      </w:r>
      <w:r>
        <w:rPr>
          <w:rFonts w:hint="eastAsia" w:ascii="仿宋_GB2312" w:hAnsi="仿宋_GB2312" w:eastAsia="仿宋_GB2312"/>
          <w:sz w:val="32"/>
          <w:szCs w:val="32"/>
        </w:rPr>
        <w:t>先后出台了《关于推进崇明世界级生态岛数字化城乡管理体系建设的通知》《崇明区加快信息基础设施建设工作要点》《上海市崇明区人民政府关于打造“随申办”超级应用完善区级移动政务服务共建共营长效机制的工作方案》等文件。</w:t>
      </w:r>
      <w:r>
        <w:rPr>
          <w:rFonts w:hint="eastAsia" w:ascii="仿宋_GB2312" w:hAnsi="仿宋_GB2312" w:eastAsia="仿宋_GB2312"/>
          <w:b/>
          <w:sz w:val="32"/>
          <w:szCs w:val="32"/>
          <w:shd w:val="clear" w:color="auto" w:fill="FFFFFF"/>
        </w:rPr>
        <w:t>组织保障方面，</w:t>
      </w:r>
      <w:r>
        <w:rPr>
          <w:rFonts w:hint="eastAsia" w:ascii="仿宋_GB2312" w:hAnsi="仿宋_GB2312" w:eastAsia="仿宋_GB2312"/>
          <w:sz w:val="32"/>
          <w:szCs w:val="32"/>
        </w:rPr>
        <w:t>积极响应市级调整，完善智慧崇明建设统一领导、统一协调的组织架构，合力推进智慧崇明规划与建设。信息化项目专项资金、科技创新资金等进一步支持重要网络和信息系统建设。</w:t>
      </w:r>
      <w:r>
        <w:rPr>
          <w:rFonts w:hint="eastAsia" w:ascii="仿宋_GB2312" w:hAnsi="仿宋_GB2312" w:eastAsia="仿宋_GB2312"/>
          <w:b/>
          <w:sz w:val="32"/>
          <w:szCs w:val="32"/>
          <w:shd w:val="clear" w:color="auto" w:fill="FFFFFF"/>
        </w:rPr>
        <w:t>资金支持方面，</w:t>
      </w:r>
      <w:r>
        <w:rPr>
          <w:rFonts w:hint="eastAsia" w:ascii="仿宋_GB2312" w:hAnsi="仿宋_GB2312" w:eastAsia="仿宋_GB2312"/>
          <w:sz w:val="32"/>
          <w:szCs w:val="32"/>
        </w:rPr>
        <w:t>重点支撑上海东滩智联网研究院设立，鼓励社会资本参与建设，积极为创新引领明显、带动面广、社会效益大的5G关键技术、重点应用和共性平台给予专项资金扶持。</w:t>
      </w:r>
      <w:r>
        <w:rPr>
          <w:rFonts w:hint="eastAsia" w:ascii="仿宋_GB2312" w:hAnsi="仿宋_GB2312" w:eastAsia="仿宋_GB2312"/>
          <w:b/>
          <w:sz w:val="32"/>
          <w:szCs w:val="32"/>
          <w:shd w:val="clear" w:color="auto" w:fill="FFFFFF"/>
        </w:rPr>
        <w:t>人才培养方面，</w:t>
      </w:r>
      <w:r>
        <w:rPr>
          <w:rFonts w:hint="eastAsia" w:ascii="仿宋_GB2312" w:hAnsi="仿宋_GB2312" w:eastAsia="仿宋_GB2312"/>
          <w:sz w:val="32"/>
          <w:szCs w:val="32"/>
        </w:rPr>
        <w:t>建立起重点企业科研院所平台、智慧岛人才平台等人才引进与交流渠道，努力做好中央和上海“千人计划”、本土创新创业人才纳入培养计划，不断弥补高层次复合型人才缺口。</w:t>
      </w:r>
    </w:p>
    <w:p>
      <w:pPr>
        <w:pStyle w:val="3"/>
        <w:spacing w:line="160" w:lineRule="atLeast"/>
        <w:rPr>
          <w:rFonts w:ascii="仿宋_GB2312" w:hAnsi="黑体" w:eastAsia="仿宋_GB2312"/>
          <w:bCs w:val="0"/>
        </w:rPr>
      </w:pPr>
      <w:bookmarkStart w:id="35" w:name="_Toc47450683"/>
      <w:bookmarkStart w:id="36" w:name="_Toc47450961"/>
      <w:bookmarkStart w:id="37" w:name="_Toc47451070"/>
      <w:bookmarkStart w:id="38" w:name="_Toc38977978"/>
      <w:bookmarkStart w:id="39" w:name="_Toc6150"/>
      <w:bookmarkStart w:id="40" w:name="_Toc38801121"/>
      <w:bookmarkStart w:id="41" w:name="_Toc47450102"/>
      <w:bookmarkStart w:id="42" w:name="_Toc58250510"/>
      <w:r>
        <w:rPr>
          <w:rFonts w:hint="eastAsia" w:ascii="仿宋_GB2312" w:hAnsi="黑体" w:eastAsia="仿宋_GB2312"/>
          <w:bCs w:val="0"/>
        </w:rPr>
        <w:t>（二）“十四五”期间信息化面临形势</w:t>
      </w:r>
      <w:bookmarkEnd w:id="35"/>
      <w:bookmarkEnd w:id="36"/>
      <w:bookmarkEnd w:id="37"/>
      <w:bookmarkEnd w:id="38"/>
      <w:bookmarkEnd w:id="39"/>
      <w:bookmarkEnd w:id="40"/>
      <w:bookmarkEnd w:id="41"/>
      <w:bookmarkEnd w:id="42"/>
    </w:p>
    <w:p>
      <w:pPr>
        <w:pStyle w:val="4"/>
        <w:numPr>
          <w:ilvl w:val="1"/>
          <w:numId w:val="2"/>
        </w:numPr>
        <w:spacing w:line="160" w:lineRule="atLeast"/>
        <w:rPr>
          <w:rFonts w:ascii="仿宋_GB2312" w:hAnsi="仿宋_GB2312" w:eastAsia="仿宋_GB2312"/>
          <w:sz w:val="32"/>
          <w:szCs w:val="32"/>
        </w:rPr>
      </w:pPr>
      <w:bookmarkStart w:id="43" w:name="_Toc47451071"/>
      <w:bookmarkStart w:id="44" w:name="_Toc47450962"/>
      <w:r>
        <w:rPr>
          <w:rFonts w:hint="eastAsia" w:ascii="仿宋_GB2312" w:hAnsi="仿宋_GB2312" w:eastAsia="仿宋_GB2312"/>
          <w:sz w:val="32"/>
          <w:szCs w:val="32"/>
        </w:rPr>
        <w:t>寻求经济增长新模式，各国加快布局信息化发展战略</w:t>
      </w:r>
      <w:bookmarkEnd w:id="43"/>
      <w:bookmarkEnd w:id="44"/>
    </w:p>
    <w:p>
      <w:pPr>
        <w:spacing w:line="160" w:lineRule="atLeast"/>
        <w:ind w:firstLine="640" w:firstLineChars="200"/>
        <w:rPr>
          <w:rFonts w:ascii="仿宋_GB2312" w:hAnsi="仿宋_GB2312" w:eastAsia="仿宋_GB2312"/>
          <w:sz w:val="32"/>
          <w:szCs w:val="32"/>
        </w:rPr>
      </w:pPr>
      <w:r>
        <w:rPr>
          <w:rFonts w:hint="eastAsia" w:ascii="仿宋_GB2312" w:hAnsi="仿宋_GB2312" w:eastAsia="仿宋_GB2312"/>
          <w:sz w:val="32"/>
          <w:szCs w:val="32"/>
        </w:rPr>
        <w:t>全球化4.0时代下，各国把握新兴信息技术发展机遇，积极寻求新的经济增长点。随着以智能化、数字化技术发展为基础的第四次工业革命兴起，全球新一轮技术革命呈现出扁平化、分布式特征，颠覆性技术创新和扩散应用成为经济发展新动能的重要驱动力，推动着全球从工业社会、信息社会向后工业化、后信息化社会转变。从通信、互联网到数字经济生态，寻求科技创新突破、孕育新产业、寻找新增长点成为各国共识。发达国家纷纷实施“再工业化”和“制造业回归”战略,发展中国家抢抓产业链重组和调整机遇，以信息化促转型发展，新兴市场国家有效形成多边科技创新合力。把握新一轮工业革命机遇，以创新引领发展，加强信息化相关人才、专利技术、标准等战略性创新资源的争夺，成为世界各国提升城市活力、竞争力和可持续发展能力的关键举措。</w:t>
      </w:r>
    </w:p>
    <w:p>
      <w:pPr>
        <w:pStyle w:val="4"/>
        <w:numPr>
          <w:ilvl w:val="1"/>
          <w:numId w:val="2"/>
        </w:numPr>
        <w:spacing w:line="160" w:lineRule="atLeast"/>
        <w:rPr>
          <w:rFonts w:ascii="仿宋_GB2312" w:hAnsi="仿宋_GB2312" w:eastAsia="仿宋_GB2312"/>
          <w:sz w:val="32"/>
          <w:szCs w:val="32"/>
        </w:rPr>
      </w:pPr>
      <w:bookmarkStart w:id="45" w:name="_Toc47450963"/>
      <w:bookmarkStart w:id="46" w:name="_Toc47451072"/>
      <w:r>
        <w:rPr>
          <w:rFonts w:hint="eastAsia" w:ascii="仿宋_GB2312" w:hAnsi="仿宋_GB2312" w:eastAsia="仿宋_GB2312"/>
          <w:sz w:val="32"/>
          <w:szCs w:val="32"/>
        </w:rPr>
        <w:t>培育经济发展新动能，全面实施数字中国发展战略</w:t>
      </w:r>
      <w:bookmarkEnd w:id="45"/>
      <w:bookmarkEnd w:id="46"/>
    </w:p>
    <w:p>
      <w:pPr>
        <w:spacing w:line="160" w:lineRule="atLeast"/>
        <w:ind w:firstLine="640" w:firstLineChars="200"/>
        <w:rPr>
          <w:rFonts w:ascii="仿宋_GB2312" w:hAnsi="仿宋_GB2312" w:eastAsia="仿宋_GB2312"/>
          <w:sz w:val="32"/>
          <w:szCs w:val="32"/>
        </w:rPr>
      </w:pPr>
      <w:r>
        <w:rPr>
          <w:rFonts w:hint="eastAsia" w:ascii="仿宋_GB2312" w:hAnsi="仿宋_GB2312" w:eastAsia="仿宋_GB2312"/>
          <w:sz w:val="32"/>
          <w:szCs w:val="32"/>
        </w:rPr>
        <w:t>加快建设数字中国，以信息化培育新动能，主动适应和引领我国经济发展新常态，力争在新一轮全球城市竞争中，塑造我国核心竞争力。数字中国是新时代国家信息化的新战略，我国信息化建设正加速迈向全面互联、跨界融合、集成创新的新阶段，大数据、人工智能等信息技术创新和超大规模的应用场景取得重大进展，“放管服”改革不断深化，数据资源体系建设稳步推进，进一步强调5G、物联网、工业互联网等新型基础设施建设，经济社会数字化网络化转型步伐加快。随着经济发展步入新常态，我国已进入新型工业化、信息化、城镇化、农业现代化同步发展的关键时期，高质量发展是经济发展新常态的必然要求，而生态优先、绿色发展又是高质量发展的重要标志，充分发挥信息化驱动引领作用，为我国经济社会平稳发展增添新动力。</w:t>
      </w:r>
    </w:p>
    <w:p>
      <w:pPr>
        <w:pStyle w:val="4"/>
        <w:spacing w:line="160" w:lineRule="atLeast"/>
        <w:rPr>
          <w:rFonts w:ascii="仿宋_GB2312" w:hAnsi="仿宋_GB2312" w:eastAsia="仿宋_GB2312"/>
          <w:sz w:val="32"/>
          <w:szCs w:val="32"/>
        </w:rPr>
      </w:pPr>
      <w:bookmarkStart w:id="47" w:name="_Toc47450964"/>
      <w:bookmarkStart w:id="48" w:name="_Toc47451073"/>
      <w:r>
        <w:rPr>
          <w:rFonts w:hint="eastAsia" w:ascii="仿宋_GB2312" w:hAnsi="仿宋_GB2312" w:eastAsia="仿宋_GB2312"/>
          <w:sz w:val="32"/>
          <w:szCs w:val="32"/>
        </w:rPr>
        <w:t>探索全球城市新路径，上海致力建设韧性生态之城</w:t>
      </w:r>
      <w:bookmarkEnd w:id="47"/>
      <w:bookmarkEnd w:id="48"/>
    </w:p>
    <w:p>
      <w:pPr>
        <w:spacing w:line="360" w:lineRule="auto"/>
        <w:ind w:firstLine="640" w:firstLineChars="200"/>
        <w:rPr>
          <w:rFonts w:ascii="仿宋_GB2312" w:hAnsi="仿宋_GB2312" w:eastAsia="仿宋_GB2312"/>
          <w:sz w:val="32"/>
          <w:szCs w:val="28"/>
        </w:rPr>
      </w:pPr>
      <w:bookmarkStart w:id="49" w:name="_Toc38801122"/>
      <w:bookmarkStart w:id="50" w:name="_Toc38977979"/>
      <w:bookmarkStart w:id="51" w:name="_Toc47451074"/>
      <w:bookmarkStart w:id="52" w:name="_Toc47450965"/>
      <w:bookmarkStart w:id="53" w:name="_Toc47450684"/>
      <w:bookmarkStart w:id="54" w:name="_Toc47450103"/>
      <w:r>
        <w:rPr>
          <w:rFonts w:hint="eastAsia" w:ascii="仿宋_GB2312" w:hAnsi="仿宋_GB2312" w:eastAsia="仿宋_GB2312"/>
          <w:sz w:val="32"/>
          <w:szCs w:val="28"/>
        </w:rPr>
        <w:t>上海致力建设卓越的全球城市，积极发挥龙头作用，牵头推进长三角区域一体化高质</w:t>
      </w:r>
      <w:r>
        <w:rPr>
          <w:rFonts w:hint="eastAsia" w:ascii="仿宋_GB2312" w:hAnsi="仿宋_GB2312" w:eastAsia="仿宋_GB2312"/>
          <w:sz w:val="32"/>
          <w:szCs w:val="28"/>
          <w:lang w:eastAsia="zh-CN"/>
        </w:rPr>
        <w:t>量</w:t>
      </w:r>
      <w:bookmarkStart w:id="370" w:name="_GoBack"/>
      <w:bookmarkEnd w:id="370"/>
      <w:r>
        <w:rPr>
          <w:rFonts w:hint="eastAsia" w:ascii="仿宋_GB2312" w:hAnsi="仿宋_GB2312" w:eastAsia="仿宋_GB2312"/>
          <w:sz w:val="32"/>
          <w:szCs w:val="28"/>
        </w:rPr>
        <w:t>发展，全面推动城市数字化转型，努力探索韧性生态的可持续发展方式。深刻认清城市数字化转型的重要性和紧迫性，顺应全球化与信息化两大潮流交互作用的发展趋势，以数字化为引领，推动整体性转变、全方位赋能、革命性重塑。聚焦“存量时代”的发展特点，新一轮上海全球城市的建设，明确“底线思维”、“内涵发展”、“弹性适应”的发展路径，用数字化方式创造性地解决超大城市治理和发展难题，坚持“以人为本”为导向，以城市有机更新为抓手，以区域合作创新为支撑，加快筑牢城市“数字底座”，深入推进5G等数字新基建，聚焦政务服务“一网通办”、城市运行“一网统管”、全面赋能数字经济三大建设重点，加快推进新型智慧城市建设与城市数字化转型重大战略深度融合，高度重视打破城市发展“硬实力突出、软实力薄弱”的关键瓶颈，致力提升城市现代化治理水平和发展品质，努力探索上海高密度超大城市低碳、安全、韧性的发展方式，使得上海未来成为引领国际可持续发展的重要标杆。</w:t>
      </w:r>
    </w:p>
    <w:p>
      <w:pPr>
        <w:pStyle w:val="4"/>
        <w:spacing w:line="160" w:lineRule="atLeast"/>
        <w:rPr>
          <w:rFonts w:ascii="仿宋_GB2312" w:hAnsi="仿宋_GB2312" w:eastAsia="仿宋_GB2312"/>
          <w:sz w:val="32"/>
          <w:szCs w:val="32"/>
        </w:rPr>
      </w:pPr>
      <w:r>
        <w:rPr>
          <w:rFonts w:hint="eastAsia" w:ascii="仿宋_GB2312" w:hAnsi="仿宋_GB2312" w:eastAsia="仿宋_GB2312"/>
          <w:sz w:val="32"/>
          <w:szCs w:val="32"/>
        </w:rPr>
        <w:t>构建城市发展新载体，各地为崇明提供借鉴和经验</w:t>
      </w:r>
    </w:p>
    <w:p>
      <w:pPr>
        <w:spacing w:line="360" w:lineRule="auto"/>
        <w:ind w:firstLine="640" w:firstLineChars="200"/>
        <w:rPr>
          <w:rFonts w:ascii="仿宋_GB2312" w:hAnsi="仿宋_GB2312" w:eastAsia="仿宋_GB2312"/>
          <w:sz w:val="32"/>
          <w:szCs w:val="28"/>
        </w:rPr>
      </w:pPr>
      <w:r>
        <w:rPr>
          <w:rFonts w:hint="eastAsia" w:ascii="仿宋_GB2312" w:hAnsi="仿宋_GB2312" w:eastAsia="仿宋_GB2312"/>
          <w:sz w:val="32"/>
          <w:szCs w:val="28"/>
        </w:rPr>
        <w:t>在上海市全力推动下，兄弟地区纷纷高起点、大手笔加快</w:t>
      </w:r>
      <w:r>
        <w:rPr>
          <w:rFonts w:ascii="仿宋_GB2312" w:hAnsi="仿宋_GB2312" w:eastAsia="仿宋_GB2312"/>
          <w:sz w:val="32"/>
          <w:szCs w:val="28"/>
        </w:rPr>
        <w:t>智慧城市</w:t>
      </w:r>
      <w:r>
        <w:rPr>
          <w:rFonts w:hint="eastAsia" w:ascii="仿宋_GB2312" w:hAnsi="仿宋_GB2312" w:eastAsia="仿宋_GB2312"/>
          <w:sz w:val="32"/>
          <w:szCs w:val="28"/>
        </w:rPr>
        <w:t>建设步伐，浦东新区全面建成“城市大脑”3.0，率先探索建立城市常态运行+应急管理的模式和平急融合的指挥机制；青浦区在河湖管护工作中引入高分遥感卫星、北斗导航定位、无人机等技术，探索建立河湖管护新模式；虹口区成为“全球双千兆第一区”、“5G综合应用先导示范区”；徐汇区采用智能技术升级“一网通办”为“一窗综办”，实现“24小时政务服务不打烊”；静安区打造数据驱动“智能静安”，通过实时感知交通、环保、城市基础设施运行状态，达到快速、精准处置的城市精细化管理目标。与之相比，智慧崇明建设成效平淡，亮点不足，下一步崇明必须立足生态资源禀赋优势，将智慧崇明建设作为城市数字化转型经济、生活、治理三方面的重要载体，推动崇明在“十四五”期间实现信息化领域弯道超车。</w:t>
      </w:r>
    </w:p>
    <w:p>
      <w:pPr>
        <w:pStyle w:val="3"/>
        <w:spacing w:line="160" w:lineRule="atLeast"/>
        <w:rPr>
          <w:rFonts w:ascii="仿宋_GB2312" w:hAnsi="黑体" w:eastAsia="仿宋_GB2312"/>
          <w:bCs w:val="0"/>
        </w:rPr>
      </w:pPr>
      <w:bookmarkStart w:id="55" w:name="_Toc16868"/>
      <w:bookmarkStart w:id="56" w:name="_Toc58250511"/>
      <w:r>
        <w:rPr>
          <w:rFonts w:hint="eastAsia" w:ascii="仿宋_GB2312" w:hAnsi="黑体" w:eastAsia="仿宋_GB2312"/>
          <w:bCs w:val="0"/>
        </w:rPr>
        <w:t>（三）“十四五”机遇与挑战</w:t>
      </w:r>
      <w:bookmarkEnd w:id="49"/>
      <w:bookmarkEnd w:id="50"/>
      <w:bookmarkEnd w:id="51"/>
      <w:bookmarkEnd w:id="52"/>
      <w:bookmarkEnd w:id="53"/>
      <w:bookmarkEnd w:id="54"/>
      <w:bookmarkEnd w:id="55"/>
      <w:bookmarkEnd w:id="56"/>
    </w:p>
    <w:p>
      <w:pPr>
        <w:spacing w:line="160" w:lineRule="atLeast"/>
        <w:ind w:firstLine="640" w:firstLineChars="200"/>
        <w:rPr>
          <w:rFonts w:ascii="仿宋_GB2312" w:hAnsi="仿宋_GB2312" w:eastAsia="仿宋_GB2312"/>
          <w:sz w:val="32"/>
          <w:szCs w:val="32"/>
        </w:rPr>
      </w:pPr>
      <w:r>
        <w:rPr>
          <w:rFonts w:hint="eastAsia" w:ascii="仿宋_GB2312" w:hAnsi="仿宋_GB2312" w:eastAsia="仿宋_GB2312"/>
          <w:sz w:val="32"/>
          <w:szCs w:val="32"/>
        </w:rPr>
        <w:t>立足崇明生态岛建设的现有基础，“十四五”期间，崇明应利用城市数字化转型赋能生态发展，助推崇明向“生态化的生产生活方式”全面转变，促进生态环境高品质、城市治理高精准、生态人居高水平、绿色发展高能级的生态岛引领示范、绿色转型。</w:t>
      </w:r>
    </w:p>
    <w:p>
      <w:pPr>
        <w:pStyle w:val="4"/>
        <w:numPr>
          <w:ilvl w:val="1"/>
          <w:numId w:val="3"/>
        </w:numPr>
        <w:spacing w:line="160" w:lineRule="atLeast"/>
        <w:rPr>
          <w:rFonts w:ascii="仿宋_GB2312" w:hAnsi="仿宋_GB2312" w:eastAsia="仿宋_GB2312"/>
          <w:sz w:val="32"/>
          <w:szCs w:val="32"/>
        </w:rPr>
      </w:pPr>
      <w:bookmarkStart w:id="57" w:name="_Toc47451076"/>
      <w:bookmarkStart w:id="58" w:name="_Toc47450967"/>
      <w:r>
        <w:rPr>
          <w:rFonts w:hint="eastAsia" w:ascii="仿宋_GB2312" w:hAnsi="仿宋_GB2312" w:eastAsia="仿宋_GB2312"/>
          <w:sz w:val="32"/>
          <w:szCs w:val="32"/>
        </w:rPr>
        <w:t>以信息化为抓手，</w:t>
      </w:r>
      <w:bookmarkEnd w:id="57"/>
      <w:bookmarkEnd w:id="58"/>
      <w:r>
        <w:rPr>
          <w:rFonts w:hint="eastAsia" w:ascii="仿宋_GB2312" w:hAnsi="仿宋_GB2312" w:eastAsia="仿宋_GB2312"/>
          <w:sz w:val="32"/>
          <w:szCs w:val="32"/>
        </w:rPr>
        <w:t>认识智慧崇明建设存在的问题</w:t>
      </w:r>
    </w:p>
    <w:p>
      <w:pPr>
        <w:spacing w:line="160" w:lineRule="atLeast"/>
        <w:ind w:firstLine="640" w:firstLineChars="200"/>
        <w:rPr>
          <w:rFonts w:ascii="仿宋_GB2312" w:hAnsi="仿宋_GB2312" w:eastAsia="仿宋_GB2312"/>
          <w:sz w:val="32"/>
          <w:szCs w:val="32"/>
        </w:rPr>
      </w:pPr>
      <w:r>
        <w:rPr>
          <w:rFonts w:hint="eastAsia" w:ascii="仿宋_GB2312" w:hAnsi="仿宋_GB2312" w:eastAsia="仿宋_GB2312"/>
          <w:sz w:val="32"/>
          <w:szCs w:val="32"/>
        </w:rPr>
        <w:t>崇明虽然在加快信息基础设施部署、落实“信息强政”统筹建设、推进“信息惠民”服务应用、加快“信息助业”特色发展方面取得一定成果，但亟需认识到全区信息化建设仍存在制约瓶颈和深层次问题。</w:t>
      </w:r>
    </w:p>
    <w:p>
      <w:pPr>
        <w:spacing w:line="160" w:lineRule="atLeast"/>
        <w:ind w:firstLine="643" w:firstLineChars="200"/>
        <w:rPr>
          <w:rFonts w:ascii="仿宋_GB2312" w:hAnsi="仿宋_GB2312" w:eastAsia="仿宋_GB2312"/>
          <w:sz w:val="32"/>
          <w:szCs w:val="32"/>
        </w:rPr>
      </w:pPr>
      <w:r>
        <w:rPr>
          <w:rFonts w:hint="eastAsia" w:ascii="仿宋_GB2312" w:hAnsi="仿宋_GB2312" w:eastAsia="仿宋_GB2312"/>
          <w:b/>
          <w:sz w:val="32"/>
          <w:szCs w:val="32"/>
        </w:rPr>
        <w:t>一是信息化建设顶层设计有待加强</w:t>
      </w:r>
      <w:r>
        <w:rPr>
          <w:rFonts w:hint="eastAsia" w:ascii="仿宋_GB2312" w:hAnsi="仿宋_GB2312" w:eastAsia="仿宋_GB2312"/>
          <w:sz w:val="32"/>
          <w:szCs w:val="32"/>
        </w:rPr>
        <w:t>。因受“两张网”、系统整合等</w:t>
      </w:r>
      <w:r>
        <w:rPr>
          <w:rFonts w:hint="eastAsia" w:ascii="仿宋_GB2312" w:hAnsi="仿宋_GB2312" w:eastAsia="仿宋_GB2312"/>
          <w:color w:val="FF0000"/>
          <w:sz w:val="32"/>
          <w:szCs w:val="32"/>
        </w:rPr>
        <w:t>新政策</w:t>
      </w:r>
      <w:r>
        <w:rPr>
          <w:rFonts w:hint="eastAsia" w:ascii="仿宋_GB2312" w:hAnsi="仿宋_GB2312" w:eastAsia="仿宋_GB2312"/>
          <w:sz w:val="32"/>
          <w:szCs w:val="32"/>
        </w:rPr>
        <w:t>、新要求影响，当前崇明的信息化项目实际建设与规划存在一定的错位，亟需强化信息化项目管理能力、加快政务信息系统整合融合、提高资源集约利用水平、提升网络安全统一保障能力、完善信息化推进体制机制、创新智慧崇明建设运营模式。</w:t>
      </w:r>
    </w:p>
    <w:p>
      <w:pPr>
        <w:spacing w:line="160" w:lineRule="atLeast"/>
        <w:ind w:firstLine="643" w:firstLineChars="200"/>
        <w:rPr>
          <w:rFonts w:ascii="仿宋_GB2312" w:hAnsi="仿宋_GB2312" w:eastAsia="仿宋_GB2312"/>
          <w:sz w:val="32"/>
          <w:szCs w:val="32"/>
        </w:rPr>
      </w:pPr>
      <w:r>
        <w:rPr>
          <w:rFonts w:hint="eastAsia" w:ascii="仿宋_GB2312" w:hAnsi="仿宋_GB2312" w:eastAsia="仿宋_GB2312"/>
          <w:b/>
          <w:sz w:val="32"/>
          <w:szCs w:val="32"/>
        </w:rPr>
        <w:t>二是信息基础设施承载力不足</w:t>
      </w:r>
      <w:r>
        <w:rPr>
          <w:rFonts w:hint="eastAsia" w:ascii="仿宋_GB2312" w:hAnsi="仿宋_GB2312" w:eastAsia="仿宋_GB2312"/>
          <w:sz w:val="32"/>
          <w:szCs w:val="32"/>
        </w:rPr>
        <w:t>。崇明区地域广、经济体量小，信息化建设财政资金支撑不足，建设数量和覆盖范围均低于其他区，导致物联终端部署分散，现有政务外网网络服务能力不够支撑“一网统管”需要，政务云资源供给尚不够全面，难以满足后续发展需求。</w:t>
      </w:r>
      <w:r>
        <w:rPr>
          <w:rFonts w:hint="eastAsia" w:ascii="仿宋_GB2312" w:hAnsi="仿宋_GB2312" w:eastAsia="仿宋_GB2312"/>
          <w:sz w:val="32"/>
          <w:szCs w:val="28"/>
        </w:rPr>
        <w:t>缺乏对人工智能、大数据、区块链等各类共性能力的整合，造成各行业技术应用难度大、成本高，</w:t>
      </w:r>
      <w:r>
        <w:rPr>
          <w:rFonts w:hint="eastAsia" w:ascii="仿宋_GB2312" w:hAnsi="仿宋_GB2312" w:eastAsia="仿宋_GB2312"/>
          <w:sz w:val="32"/>
          <w:szCs w:val="32"/>
        </w:rPr>
        <w:t>难以高效推进新一代信息技术与崇明生态岛综合建设的深度融合。</w:t>
      </w:r>
    </w:p>
    <w:p>
      <w:pPr>
        <w:spacing w:line="160" w:lineRule="atLeast"/>
        <w:ind w:firstLine="643" w:firstLineChars="200"/>
        <w:rPr>
          <w:rFonts w:ascii="仿宋_GB2312" w:hAnsi="仿宋_GB2312" w:eastAsia="仿宋_GB2312"/>
          <w:sz w:val="32"/>
          <w:szCs w:val="32"/>
        </w:rPr>
      </w:pPr>
      <w:r>
        <w:rPr>
          <w:rFonts w:hint="eastAsia" w:ascii="仿宋_GB2312" w:hAnsi="仿宋_GB2312" w:eastAsia="仿宋_GB2312"/>
          <w:b/>
          <w:sz w:val="32"/>
          <w:szCs w:val="32"/>
        </w:rPr>
        <w:t>三是信息资源共享开放程度有待提高</w:t>
      </w:r>
      <w:r>
        <w:rPr>
          <w:rFonts w:hint="eastAsia" w:ascii="仿宋_GB2312" w:hAnsi="仿宋_GB2312" w:eastAsia="仿宋_GB2312"/>
          <w:sz w:val="32"/>
          <w:szCs w:val="32"/>
        </w:rPr>
        <w:t>。目前崇明大部分应用系统由两部分组成，一部分为垂管下发的条线系统，存量历史数据和新增业务数据分散繁杂，数据本地化存在一定的难度；一部分为自建系统，存在功能重叠、系统间协同能力差等问题，难以实现共享互通，数据资源的价值得不到有效发挥，制约了崇明生态岛精细化、智慧化管理新路径的探索实践。</w:t>
      </w:r>
    </w:p>
    <w:p>
      <w:pPr>
        <w:spacing w:line="160" w:lineRule="atLeast"/>
        <w:ind w:firstLine="643" w:firstLineChars="200"/>
        <w:rPr>
          <w:rFonts w:ascii="仿宋_GB2312" w:hAnsi="仿宋_GB2312" w:eastAsia="仿宋_GB2312"/>
          <w:b/>
          <w:sz w:val="32"/>
          <w:szCs w:val="32"/>
        </w:rPr>
      </w:pPr>
      <w:r>
        <w:rPr>
          <w:rFonts w:hint="eastAsia" w:ascii="仿宋_GB2312" w:hAnsi="仿宋_GB2312" w:eastAsia="仿宋_GB2312" w:cs="仿宋_GB2312"/>
          <w:b/>
          <w:sz w:val="32"/>
          <w:szCs w:val="32"/>
        </w:rPr>
        <w:t>四是生态崇明信息化发展重点任务不清晰。</w:t>
      </w:r>
      <w:r>
        <w:rPr>
          <w:rFonts w:hint="eastAsia" w:ascii="仿宋_GB2312" w:hAnsi="仿宋_GB2312" w:eastAsia="仿宋_GB2312" w:cs="仿宋_GB2312"/>
          <w:sz w:val="32"/>
          <w:szCs w:val="32"/>
        </w:rPr>
        <w:t>崇明偏居一隅，受经济体量制约，</w:t>
      </w:r>
      <w:r>
        <w:rPr>
          <w:rFonts w:hint="eastAsia" w:ascii="仿宋_GB2312" w:hAnsi="仿宋_GB2312" w:eastAsia="仿宋_GB2312" w:cs="仿宋_GB2312"/>
          <w:bCs/>
          <w:sz w:val="32"/>
          <w:szCs w:val="32"/>
        </w:rPr>
        <w:t>信</w:t>
      </w:r>
      <w:r>
        <w:rPr>
          <w:rFonts w:hint="eastAsia" w:ascii="仿宋_GB2312" w:hAnsi="仿宋_GB2312" w:eastAsia="仿宋_GB2312" w:cs="仿宋_GB2312"/>
          <w:sz w:val="32"/>
          <w:szCs w:val="32"/>
        </w:rPr>
        <w:t>息化和工业化深度融合程度放缓，智能制造乏力，本地数字产业发展滞后，人口结构中农村人口和老年人口比重较大，对优质医疗、养老等公共服务需求旺盛，当前崇明信息化建设虽多点开花，但未根据自身痛点，结合生态优势，突出智慧农业、生态保护、全域旅游、远程医疗等重点智慧应用，难以有重点、有特色的开展信息化工作。</w:t>
      </w:r>
    </w:p>
    <w:p>
      <w:pPr>
        <w:spacing w:line="160" w:lineRule="atLeast"/>
        <w:ind w:firstLine="643" w:firstLineChars="200"/>
        <w:rPr>
          <w:rFonts w:ascii="仿宋_GB2312" w:hAnsi="仿宋_GB2312" w:eastAsia="仿宋_GB2312"/>
          <w:sz w:val="32"/>
          <w:szCs w:val="32"/>
        </w:rPr>
      </w:pPr>
      <w:r>
        <w:rPr>
          <w:rFonts w:hint="eastAsia" w:ascii="仿宋_GB2312" w:hAnsi="仿宋_GB2312" w:eastAsia="仿宋_GB2312"/>
          <w:b/>
          <w:sz w:val="32"/>
          <w:szCs w:val="32"/>
        </w:rPr>
        <w:t>五是全区信息化发展竞争实力较弱</w:t>
      </w:r>
      <w:r>
        <w:rPr>
          <w:rFonts w:hint="eastAsia" w:ascii="仿宋_GB2312" w:hAnsi="仿宋_GB2312" w:eastAsia="仿宋_GB2312"/>
          <w:sz w:val="32"/>
          <w:szCs w:val="32"/>
        </w:rPr>
        <w:t>。受到产业结构和地域因素制约，当前崇明区整体经济发展在全市还处于较为落后的水平，高新技术企业数量少，存在核心信息技术科研力量匮乏、信息化人才培育引进难、人才队伍规模偏小，总量不足、创新能力不强、区域和行业间分布不够合理等问题，导致科技中小型企业成长路线不清晰、新兴产业与传统产业渗透融合不深、智慧岛园区经济集群发展缓慢，信息化发展整体竞争实力较弱，限制了崇明生态岛的高质量绿色转型发展。</w:t>
      </w:r>
    </w:p>
    <w:p>
      <w:pPr>
        <w:pStyle w:val="4"/>
        <w:numPr>
          <w:ilvl w:val="1"/>
          <w:numId w:val="3"/>
        </w:numPr>
        <w:spacing w:line="160" w:lineRule="atLeast"/>
        <w:rPr>
          <w:rFonts w:ascii="仿宋_GB2312" w:hAnsi="仿宋_GB2312" w:eastAsia="仿宋_GB2312"/>
          <w:sz w:val="32"/>
          <w:szCs w:val="32"/>
        </w:rPr>
      </w:pPr>
      <w:r>
        <w:rPr>
          <w:rFonts w:hint="eastAsia" w:ascii="仿宋_GB2312" w:hAnsi="仿宋_GB2312" w:eastAsia="仿宋_GB2312"/>
          <w:sz w:val="32"/>
          <w:szCs w:val="32"/>
        </w:rPr>
        <w:t>以信息化为支撑，助推崇明世界级生态岛建设</w:t>
      </w:r>
    </w:p>
    <w:p>
      <w:pPr>
        <w:spacing w:line="160" w:lineRule="atLeast"/>
        <w:ind w:firstLine="640" w:firstLineChars="200"/>
        <w:rPr>
          <w:rFonts w:ascii="仿宋_GB2312" w:hAnsi="仿宋_GB2312" w:eastAsia="仿宋_GB2312"/>
          <w:sz w:val="32"/>
          <w:szCs w:val="32"/>
          <w:shd w:val="clear" w:color="auto" w:fill="FFFFFF"/>
        </w:rPr>
      </w:pPr>
      <w:r>
        <w:rPr>
          <w:rFonts w:hint="eastAsia" w:ascii="仿宋_GB2312" w:hAnsi="仿宋_GB2312" w:eastAsia="仿宋_GB2312"/>
          <w:sz w:val="32"/>
          <w:szCs w:val="32"/>
        </w:rPr>
        <w:t>“十三五”期间，崇明坚持“生态立岛”理念，生态岛的基础框架初步形成，具有全球引领示范作用的世界级生态岛建设进入智慧城市转型新阶段。面对全球新一轮科技革命和产业革命的孕育成长，技术变革成为常态，颠覆性技术的突破应用将改造全球传统生产模式和服务业态，崇明将积极顺应全球经济深度融合发展的趋势，以规模化创新新一代信息技术应用示范为引领，致力绿色转型发展。同时，崇明将紧抓“一带一路”建设、“长江经济带”绿色发展的契机，积极融入长三角区域一体化进程，深入参与长江口区域生态化合作，承担起支撑上海全球城市中生态城市建设和融入全市发展大格局的重任，发挥信息化建设的驱动力，以创新应用为导向，积极实施“+生态”和“生态+”发展战略，加快推进崇明经济、生活、治理数字化协同发展，探索“中国智慧”的崇明生态文明发展新路径。</w:t>
      </w:r>
    </w:p>
    <w:p>
      <w:pPr>
        <w:pStyle w:val="2"/>
        <w:spacing w:after="0" w:line="160" w:lineRule="atLeast"/>
        <w:rPr>
          <w:rFonts w:ascii="仿宋_GB2312" w:hAnsi="黑体" w:eastAsia="仿宋_GB2312"/>
          <w:sz w:val="32"/>
          <w:szCs w:val="32"/>
        </w:rPr>
      </w:pPr>
      <w:bookmarkStart w:id="59" w:name="_Toc47450685"/>
      <w:bookmarkStart w:id="60" w:name="_Toc38977980"/>
      <w:bookmarkStart w:id="61" w:name="_Toc47450104"/>
      <w:bookmarkStart w:id="62" w:name="_Toc38801123"/>
      <w:bookmarkStart w:id="63" w:name="_Toc47451077"/>
      <w:bookmarkStart w:id="64" w:name="_Toc47450968"/>
      <w:bookmarkStart w:id="65" w:name="_Toc58250512"/>
      <w:bookmarkStart w:id="66" w:name="_Toc11551"/>
      <w:r>
        <w:rPr>
          <w:rFonts w:hint="eastAsia" w:ascii="仿宋_GB2312" w:hAnsi="黑体" w:eastAsia="仿宋_GB2312"/>
          <w:sz w:val="32"/>
          <w:szCs w:val="32"/>
        </w:rPr>
        <w:t>二、深入贯彻新时代发展理念，明确自身战略定位</w:t>
      </w:r>
      <w:bookmarkEnd w:id="59"/>
      <w:bookmarkEnd w:id="60"/>
      <w:bookmarkEnd w:id="61"/>
      <w:bookmarkEnd w:id="62"/>
      <w:bookmarkEnd w:id="63"/>
      <w:bookmarkEnd w:id="64"/>
      <w:bookmarkEnd w:id="65"/>
      <w:bookmarkEnd w:id="66"/>
    </w:p>
    <w:p>
      <w:pPr>
        <w:pStyle w:val="3"/>
        <w:spacing w:line="160" w:lineRule="atLeast"/>
        <w:rPr>
          <w:rFonts w:ascii="仿宋_GB2312" w:hAnsi="黑体" w:eastAsia="仿宋_GB2312"/>
          <w:bCs w:val="0"/>
        </w:rPr>
      </w:pPr>
      <w:bookmarkStart w:id="67" w:name="_Toc47450969"/>
      <w:bookmarkStart w:id="68" w:name="_Toc38801124"/>
      <w:bookmarkStart w:id="69" w:name="_Toc21662"/>
      <w:bookmarkStart w:id="70" w:name="_Toc47450686"/>
      <w:bookmarkStart w:id="71" w:name="_Toc58250513"/>
      <w:bookmarkStart w:id="72" w:name="_Toc47451078"/>
      <w:bookmarkStart w:id="73" w:name="_Toc38977981"/>
      <w:bookmarkStart w:id="74" w:name="_Toc47450105"/>
      <w:r>
        <w:rPr>
          <w:rFonts w:hint="eastAsia" w:ascii="仿宋_GB2312" w:hAnsi="黑体" w:eastAsia="仿宋_GB2312"/>
          <w:bCs w:val="0"/>
        </w:rPr>
        <w:t>（一）指导思想</w:t>
      </w:r>
      <w:bookmarkEnd w:id="67"/>
      <w:bookmarkEnd w:id="68"/>
      <w:bookmarkEnd w:id="69"/>
      <w:bookmarkEnd w:id="70"/>
      <w:bookmarkEnd w:id="71"/>
      <w:bookmarkEnd w:id="72"/>
      <w:bookmarkEnd w:id="73"/>
      <w:bookmarkEnd w:id="74"/>
    </w:p>
    <w:p>
      <w:pPr>
        <w:spacing w:line="160" w:lineRule="atLeast"/>
        <w:ind w:firstLine="640" w:firstLineChars="200"/>
        <w:rPr>
          <w:rFonts w:ascii="仿宋_GB2312" w:hAnsi="仿宋_GB2312" w:eastAsia="仿宋_GB2312"/>
          <w:sz w:val="32"/>
          <w:szCs w:val="32"/>
        </w:rPr>
      </w:pPr>
      <w:r>
        <w:rPr>
          <w:rFonts w:hint="eastAsia" w:ascii="仿宋_GB2312" w:hAnsi="仿宋_GB2312" w:eastAsia="仿宋_GB2312"/>
          <w:sz w:val="32"/>
          <w:szCs w:val="32"/>
        </w:rPr>
        <w:t>以习近平新时代中国特色社会主义思想为指导，深入贯彻落实党的十九大和十九届二中、三中、四中、五中全会精神，围绕建设网络强国、数字中国、智慧社会等重大国家战略部署，坚持创新、协调、绿色、开放、共享的发展理念，进一步增强全面推进城市数字化转型的坚定性和紧迫感，紧紧围绕崇明打造“具有全球引领示范作用的世界级生态岛”战略定位，以政府数字化转型为先导，撬动经济和社会各领域数字化转型。针对数字化转型多学科融合和涉及面广的特点，加快信息化发展，落实“生态+魅力”、“生态+活力”、“生态+动力”的崇明“三生融合”发展路径，以信息化为杠杆充分丰富生态崇明新内涵，率先将生态优势转化为经济社会发展优势，有力支撑智慧精细的城市治理体系、精致匠心的生态人居品质、绿色循环的产业经济发展，确保高标准推进崇明数字化转型，全面塑造一幅生态崇明可持续发展的美好图景。</w:t>
      </w:r>
    </w:p>
    <w:p>
      <w:pPr>
        <w:pStyle w:val="3"/>
        <w:spacing w:line="160" w:lineRule="atLeast"/>
        <w:rPr>
          <w:rFonts w:ascii="仿宋_GB2312" w:hAnsi="黑体" w:eastAsia="仿宋_GB2312"/>
          <w:bCs w:val="0"/>
        </w:rPr>
      </w:pPr>
      <w:bookmarkStart w:id="75" w:name="_Toc47450687"/>
      <w:bookmarkStart w:id="76" w:name="_Toc47450970"/>
      <w:bookmarkStart w:id="77" w:name="_Toc47451079"/>
      <w:bookmarkStart w:id="78" w:name="_Toc38977982"/>
      <w:bookmarkStart w:id="79" w:name="_Toc30592"/>
      <w:bookmarkStart w:id="80" w:name="_Toc47450106"/>
      <w:bookmarkStart w:id="81" w:name="_Toc38801125"/>
      <w:bookmarkStart w:id="82" w:name="_Toc58250514"/>
      <w:r>
        <w:rPr>
          <w:rFonts w:hint="eastAsia" w:ascii="仿宋_GB2312" w:hAnsi="黑体" w:eastAsia="仿宋_GB2312"/>
          <w:bCs w:val="0"/>
        </w:rPr>
        <w:t>（二）基本原则</w:t>
      </w:r>
      <w:bookmarkEnd w:id="75"/>
      <w:bookmarkEnd w:id="76"/>
      <w:bookmarkEnd w:id="77"/>
      <w:bookmarkEnd w:id="78"/>
      <w:bookmarkEnd w:id="79"/>
      <w:bookmarkEnd w:id="80"/>
      <w:bookmarkEnd w:id="81"/>
      <w:bookmarkEnd w:id="82"/>
    </w:p>
    <w:p>
      <w:pPr>
        <w:spacing w:line="160" w:lineRule="atLeas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坚持统筹兼顾。</w:t>
      </w:r>
      <w:r>
        <w:rPr>
          <w:rFonts w:hint="eastAsia" w:ascii="仿宋_GB2312" w:hAnsi="仿宋_GB2312" w:eastAsia="仿宋_GB2312"/>
          <w:sz w:val="32"/>
          <w:szCs w:val="32"/>
        </w:rPr>
        <w:t>围绕建设具有全球示范引领作用的世界级生态岛的战略目标，立足当前实际，着眼长远发展，既要总揽全局，又要把握关键性、战略性、实质性的突出问题，统筹生态、城镇、乡村协调发展，统筹线上、线下空间融合发展，统筹各领域事关群众利益的信息化发展重大问题，兼顾经济发展与环境保护，循序渐进，确保持续健康发展。</w:t>
      </w:r>
    </w:p>
    <w:p>
      <w:pPr>
        <w:spacing w:line="160" w:lineRule="atLeas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坚持创新融合</w:t>
      </w:r>
      <w:r>
        <w:rPr>
          <w:rFonts w:hint="eastAsia" w:ascii="仿宋_GB2312" w:hAnsi="仿宋_GB2312" w:eastAsia="仿宋_GB2312"/>
          <w:sz w:val="32"/>
          <w:szCs w:val="32"/>
        </w:rPr>
        <w:t>。以创新作为根本源动力，以数据为全新生产要素，以信息化为手段，围绕数据、业务、技术，强化崇明三岛资源整合，协同推动云计算、人工智能等新一代信息技术在生态环境、政务服务、交通出行、人居生活、现代农业、全域旅游等各领域的深度融合与创新应用，稳固生态基础“存量”，创造生态价值“增量”。</w:t>
      </w:r>
    </w:p>
    <w:p>
      <w:pPr>
        <w:spacing w:line="160" w:lineRule="atLeas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坚持引领示范</w:t>
      </w:r>
      <w:r>
        <w:rPr>
          <w:rFonts w:hint="eastAsia" w:ascii="仿宋_GB2312" w:hAnsi="仿宋_GB2312" w:eastAsia="仿宋_GB2312"/>
          <w:sz w:val="32"/>
          <w:szCs w:val="32"/>
        </w:rPr>
        <w:t>。以“生态优先，绿色发展”为导向，抢抓新基建发展机遇，充分发挥生态优势，聚焦“+生态”、“生态+”实施战略，以重大区域、特色领域为突破点，先行试点一批科学性、前瞻性、可量性、可操作性的信息化领域的重大工程和项目，以区域项目协同方式带动区域一体化制度创新，探索形成生态化的崇明生活生产方式，促进绿色发展。</w:t>
      </w:r>
    </w:p>
    <w:p>
      <w:pPr>
        <w:spacing w:line="160" w:lineRule="atLeas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坚持多元参与</w:t>
      </w:r>
      <w:r>
        <w:rPr>
          <w:rFonts w:hint="eastAsia" w:ascii="仿宋_GB2312" w:hAnsi="仿宋_GB2312" w:eastAsia="仿宋_GB2312"/>
          <w:sz w:val="32"/>
          <w:szCs w:val="32"/>
        </w:rPr>
        <w:t>。建设“政府引导、市场驱动、社会参与、协同推进”机制，正确处理“政府引导”与“市场驱动”关系，发挥政府在规范标准、政策支持等方面的作用，强化市场在资源配置中的决定性作用。加快探索“社会参与、商业运营”新模式，激励、引导科技创新型企业和科研机构增强自主创新能力，加快促进科技成果的转化与技术应用的产业化，并鼓励群众积极参与，倡导“用户思维”，打造“生态崇明”多元包容、共建共享的发展新格局。</w:t>
      </w:r>
    </w:p>
    <w:p>
      <w:pPr>
        <w:pStyle w:val="3"/>
        <w:spacing w:line="160" w:lineRule="atLeast"/>
        <w:rPr>
          <w:rFonts w:ascii="仿宋_GB2312" w:hAnsi="黑体" w:eastAsia="仿宋_GB2312"/>
          <w:bCs w:val="0"/>
        </w:rPr>
      </w:pPr>
      <w:bookmarkStart w:id="83" w:name="_Toc1006"/>
      <w:bookmarkStart w:id="84" w:name="_Toc47450107"/>
      <w:bookmarkStart w:id="85" w:name="_Toc58250515"/>
      <w:bookmarkStart w:id="86" w:name="_Toc47450688"/>
      <w:bookmarkStart w:id="87" w:name="_Toc47451080"/>
      <w:bookmarkStart w:id="88" w:name="_Toc38801126"/>
      <w:bookmarkStart w:id="89" w:name="_Toc38977983"/>
      <w:bookmarkStart w:id="90" w:name="_Toc47450971"/>
      <w:r>
        <w:rPr>
          <w:rFonts w:hint="eastAsia" w:ascii="仿宋_GB2312" w:hAnsi="黑体" w:eastAsia="仿宋_GB2312"/>
          <w:bCs w:val="0"/>
        </w:rPr>
        <w:t>（三）发展目标</w:t>
      </w:r>
      <w:bookmarkEnd w:id="83"/>
      <w:bookmarkEnd w:id="84"/>
      <w:bookmarkEnd w:id="85"/>
      <w:bookmarkEnd w:id="86"/>
      <w:bookmarkEnd w:id="87"/>
      <w:bookmarkEnd w:id="88"/>
      <w:bookmarkEnd w:id="89"/>
      <w:bookmarkEnd w:id="90"/>
    </w:p>
    <w:p>
      <w:pPr>
        <w:spacing w:line="160" w:lineRule="atLeast"/>
        <w:ind w:firstLine="640" w:firstLineChars="200"/>
        <w:rPr>
          <w:rFonts w:ascii="仿宋_GB2312" w:hAnsi="仿宋_GB2312" w:eastAsia="仿宋_GB2312"/>
          <w:sz w:val="32"/>
          <w:szCs w:val="32"/>
        </w:rPr>
      </w:pPr>
      <w:bookmarkStart w:id="91" w:name="_Hlk37783281"/>
      <w:r>
        <w:rPr>
          <w:rFonts w:hint="eastAsia" w:ascii="仿宋_GB2312" w:hAnsi="仿宋_GB2312" w:eastAsia="仿宋_GB2312"/>
          <w:sz w:val="32"/>
          <w:szCs w:val="32"/>
        </w:rPr>
        <w:t>通过崇明区智慧城市建设，全面推进崇明经济、生活、治理各领域从数字化、网络化向智能化的内生演化，使得崇明成为上海市乃至长三角区域的示范引领型“创新+动力”生态绿核，全面建设成为世界级的更高质量一体化发展的生态智能岛。</w:t>
      </w:r>
    </w:p>
    <w:p>
      <w:pPr>
        <w:spacing w:line="160" w:lineRule="atLeast"/>
        <w:ind w:firstLine="640" w:firstLineChars="200"/>
        <w:rPr>
          <w:rFonts w:ascii="仿宋_GB2312" w:hAnsi="仿宋_GB2312" w:eastAsia="仿宋_GB2312"/>
          <w:sz w:val="32"/>
          <w:szCs w:val="32"/>
        </w:rPr>
      </w:pPr>
      <w:r>
        <w:rPr>
          <w:rFonts w:hint="eastAsia" w:ascii="仿宋_GB2312" w:hAnsi="仿宋_GB2312" w:eastAsia="仿宋_GB2312"/>
          <w:sz w:val="32"/>
          <w:szCs w:val="32"/>
        </w:rPr>
        <w:t>到2025年，基于云计算、大数据、移动互联网、物联网、人工智能等新一代信息技术，厚植生态优势基础，升级新型信息基础设施，壮大信息产业规模发展，塑造核心“生态型”资产，进一步提升生态发展能级，确保“生态+魅力”城市治理、“生态+活力”人居生活、“生态+动力”绿色产业等领域的一批智慧应用落地有效，实现城市“智慧”管理与“精细”服务，形成生态“智慧”治理与“精品”环境，做好产业“智慧”招商与“精致”服务，有力驱动智慧崇明总体发展水平跻身长三角区域前部阵列，成为更加韧性、更加和谐、更加安全、更加可持续的绿色转型发展试验田、新标杆。具体来看：</w:t>
      </w:r>
    </w:p>
    <w:bookmarkEnd w:id="91"/>
    <w:p>
      <w:pPr>
        <w:spacing w:line="160" w:lineRule="atLeas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（1）信息基础设施</w:t>
      </w:r>
      <w:bookmarkStart w:id="92" w:name="_Hlk53401314"/>
      <w:r>
        <w:rPr>
          <w:rFonts w:hint="eastAsia" w:ascii="仿宋_GB2312" w:hAnsi="仿宋_GB2312" w:eastAsia="仿宋_GB2312"/>
          <w:b/>
          <w:bCs/>
          <w:sz w:val="32"/>
          <w:szCs w:val="32"/>
        </w:rPr>
        <w:t>“新引擎”</w:t>
      </w:r>
      <w:bookmarkEnd w:id="92"/>
      <w:r>
        <w:rPr>
          <w:rFonts w:hint="eastAsia" w:ascii="仿宋_GB2312" w:hAnsi="仿宋_GB2312" w:eastAsia="仿宋_GB2312"/>
          <w:b/>
          <w:bCs/>
          <w:sz w:val="32"/>
          <w:szCs w:val="32"/>
        </w:rPr>
        <w:t>。</w:t>
      </w:r>
      <w:r>
        <w:rPr>
          <w:rFonts w:hint="eastAsia" w:ascii="仿宋_GB2312" w:hAnsi="仿宋_GB2312" w:eastAsia="仿宋_GB2312"/>
          <w:sz w:val="32"/>
          <w:szCs w:val="32"/>
        </w:rPr>
        <w:t>构建起集约共享、效用增值的新一代信息基础设施体系，作为支撑产业及社会网络化、数字化、智能化升级发展的“助推器”。全面建成高速、智能、泛在、安全、绿色的新一代信息基础设施，实现基于5G、物联网、工业互联网、边缘计算等新型信息基础设施的协同建设、全域部署、深度覆盖、融合应用，适应崇明生态化改造、绿色化转型的切实需求。</w:t>
      </w:r>
    </w:p>
    <w:p>
      <w:pPr>
        <w:spacing w:line="160" w:lineRule="atLeast"/>
        <w:ind w:firstLine="643" w:firstLineChars="200"/>
        <w:rPr>
          <w:rFonts w:ascii="仿宋_GB2312" w:hAnsi="仿宋_GB2312" w:eastAsia="仿宋_GB2312"/>
          <w:bCs/>
          <w:sz w:val="32"/>
          <w:szCs w:val="32"/>
        </w:rPr>
      </w:pPr>
      <w:r>
        <w:rPr>
          <w:rFonts w:hint="eastAsia" w:ascii="仿宋_GB2312" w:hAnsi="仿宋_GB2312" w:eastAsia="仿宋_GB2312"/>
          <w:b/>
          <w:bCs/>
          <w:sz w:val="32"/>
          <w:szCs w:val="32"/>
        </w:rPr>
        <w:t>（2）数据信息资源“新要素”。</w:t>
      </w:r>
      <w:r>
        <w:rPr>
          <w:rFonts w:hint="eastAsia" w:ascii="仿宋_GB2312" w:hAnsi="仿宋_GB2312" w:eastAsia="仿宋_GB2312"/>
          <w:sz w:val="32"/>
          <w:szCs w:val="32"/>
        </w:rPr>
        <w:t>构建起统一开放、价值效益的崇明城市大数据体系，作为驱动数字经济、人居生活、城市治理等各领域的多项业务应用与创新的“奠基石”。</w:t>
      </w:r>
      <w:r>
        <w:rPr>
          <w:rFonts w:hint="eastAsia" w:ascii="仿宋_GB2312" w:hAnsi="仿宋_GB2312" w:eastAsia="仿宋_GB2312"/>
          <w:bCs/>
          <w:sz w:val="32"/>
          <w:szCs w:val="32"/>
        </w:rPr>
        <w:t>全面建成以区大数据资源平台为枢纽的融合开放、动态更新、共享应用、安全可控大数据体系，按需形成崇明地方特色数据库，各部门数据资源100%接入、统一管理。创新部门业务系统建设运营模式，逐步实现业务应用与数据管理分离，充分融入区域信息化合作体系，规范发展信息资源市场，探索形成以区大数据资源平台为核心的覆盖崇明、融入长三角、对外开放的“数字服务化”品牌，实现政府公共数据合理开放、安全保护、特色开发、业务应用、效益可观。</w:t>
      </w:r>
    </w:p>
    <w:p>
      <w:pPr>
        <w:spacing w:line="160" w:lineRule="atLeast"/>
        <w:ind w:firstLine="643" w:firstLineChars="200"/>
        <w:rPr>
          <w:rFonts w:ascii="仿宋_GB2312" w:hAnsi="仿宋_GB2312" w:eastAsia="仿宋_GB2312"/>
          <w:bCs/>
          <w:sz w:val="32"/>
          <w:szCs w:val="32"/>
        </w:rPr>
      </w:pPr>
      <w:r>
        <w:rPr>
          <w:rFonts w:hint="eastAsia" w:ascii="仿宋_GB2312" w:hAnsi="仿宋_GB2312" w:eastAsia="仿宋_GB2312"/>
          <w:b/>
          <w:bCs/>
          <w:sz w:val="32"/>
          <w:szCs w:val="32"/>
        </w:rPr>
        <w:t>（3）生产生活生态“新应用”。</w:t>
      </w:r>
      <w:r>
        <w:rPr>
          <w:rFonts w:hint="eastAsia" w:ascii="仿宋_GB2312" w:hAnsi="仿宋_GB2312" w:eastAsia="仿宋_GB2312"/>
          <w:sz w:val="32"/>
          <w:szCs w:val="32"/>
        </w:rPr>
        <w:t>构建起协同互补、实效突出的崇明“三生融合”智慧应用体系，作为面向城市多元主体满足不同需求的“供应台”。全面推动</w:t>
      </w:r>
      <w:r>
        <w:rPr>
          <w:rFonts w:hint="eastAsia" w:ascii="仿宋_GB2312" w:hAnsi="仿宋_GB2312" w:eastAsia="仿宋_GB2312"/>
          <w:bCs/>
          <w:sz w:val="32"/>
          <w:szCs w:val="32"/>
        </w:rPr>
        <w:t>“生态+魅力”不断深化、</w:t>
      </w:r>
      <w:r>
        <w:rPr>
          <w:rFonts w:hint="eastAsia" w:ascii="仿宋_GB2312" w:hAnsi="仿宋_GB2312" w:eastAsia="仿宋_GB2312"/>
          <w:sz w:val="32"/>
          <w:szCs w:val="32"/>
        </w:rPr>
        <w:t>“</w:t>
      </w:r>
      <w:r>
        <w:rPr>
          <w:rFonts w:hint="eastAsia" w:ascii="仿宋_GB2312" w:hAnsi="仿宋_GB2312" w:eastAsia="仿宋_GB2312"/>
          <w:bCs/>
          <w:sz w:val="32"/>
          <w:szCs w:val="32"/>
        </w:rPr>
        <w:t>生态+活力</w:t>
      </w:r>
      <w:r>
        <w:rPr>
          <w:rFonts w:hint="eastAsia" w:ascii="仿宋_GB2312" w:hAnsi="仿宋_GB2312" w:eastAsia="仿宋_GB2312"/>
          <w:sz w:val="32"/>
          <w:szCs w:val="32"/>
        </w:rPr>
        <w:t>”</w:t>
      </w:r>
      <w:r>
        <w:rPr>
          <w:rFonts w:hint="eastAsia" w:ascii="仿宋_GB2312" w:hAnsi="仿宋_GB2312" w:eastAsia="仿宋_GB2312"/>
          <w:bCs/>
          <w:sz w:val="32"/>
          <w:szCs w:val="32"/>
        </w:rPr>
        <w:t>形态丰富、“生态+动力”蓬勃发展，开发、完善、创新在生态环保、综合交通、水务一体化、大医疗、大健康、现代农业、绿色制造、全域旅游等特色领域的一批智慧化应用，</w:t>
      </w:r>
      <w:r>
        <w:rPr>
          <w:rFonts w:hint="eastAsia" w:ascii="仿宋_GB2312" w:hAnsi="仿宋_GB2312" w:eastAsia="仿宋_GB2312"/>
          <w:sz w:val="32"/>
          <w:szCs w:val="32"/>
        </w:rPr>
        <w:t>真正凸显</w:t>
      </w:r>
      <w:r>
        <w:rPr>
          <w:rFonts w:hint="eastAsia" w:ascii="仿宋_GB2312" w:hAnsi="仿宋_GB2312" w:eastAsia="仿宋_GB2312"/>
          <w:bCs/>
          <w:sz w:val="32"/>
          <w:szCs w:val="32"/>
        </w:rPr>
        <w:t>数字经济高端转型、能级提升，人居生活普惠便捷、服务精致，城市治理协同高效、联勤联动。</w:t>
      </w:r>
    </w:p>
    <w:p>
      <w:pPr>
        <w:spacing w:line="160" w:lineRule="atLeas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（4）服务管理两张网“新高效”</w:t>
      </w:r>
      <w:r>
        <w:rPr>
          <w:rFonts w:hint="eastAsia" w:ascii="仿宋_GB2312" w:hAnsi="仿宋_GB2312" w:eastAsia="仿宋_GB2312"/>
          <w:sz w:val="32"/>
          <w:szCs w:val="32"/>
        </w:rPr>
        <w:t>。构建起高效一体、互为支撑的政务服务“一网通办”与城市运行“一网统管”综合体系，作为助力崇明城市管理与服务效能跨越式升级的“加速器”。全面扩大“高效办成一件事”的深度与广度，创新实践“互联网+用户”思维，打造“全天候”线上线下时空一致的政务服务体系，形成联系群众企业的智能、精准、主动型“服务传感器”。全面强化“高效处置一件事”的力度与深度，规范形成区-镇-村三级联动、协同管理与处置机制，打造“全场景”线上线下时空同步的城市管理体系，形成政府部门联动的智能、精细、主动型“管理耦合器”。推动“一网通办”与“一网统管”相互支撑，相互作用，双轮驱动崇明发展。</w:t>
      </w:r>
    </w:p>
    <w:p>
      <w:pPr>
        <w:spacing w:line="160" w:lineRule="atLeas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（5）特色区域工程“新示范”。</w:t>
      </w:r>
      <w:r>
        <w:rPr>
          <w:rFonts w:hint="eastAsia" w:ascii="仿宋_GB2312" w:hAnsi="仿宋_GB2312" w:eastAsia="仿宋_GB2312"/>
          <w:sz w:val="32"/>
          <w:szCs w:val="32"/>
        </w:rPr>
        <w:t>推进实践一批多点开花、溢出效应的崇明智慧应用示范工程，作为促进崇明信息化应用与产业可持续发展的“孵化器”。聚焦崇明生态底蕴浓厚的乡镇特质、花卉界“奥林匹克”花博会、绿色生态现代农业、丰富优质的水系资源等内容，全面塑造一批基于5G、物联网、大数据等信息技术的特色智慧应用示范区，形成一批高水平、产业化的重点领域智慧应用示范项目，全力构建全链条综合创新型的智慧应用生态圈，推动崇明未来迈向全新的智慧应用发展阶段。</w:t>
      </w:r>
    </w:p>
    <w:p>
      <w:pPr>
        <w:spacing w:line="160" w:lineRule="atLeast"/>
        <w:ind w:firstLine="643" w:firstLineChars="200"/>
        <w:rPr>
          <w:rFonts w:ascii="仿宋_GB2312" w:hAnsi="仿宋_GB2312" w:eastAsia="仿宋_GB2312"/>
          <w:bCs/>
          <w:sz w:val="32"/>
          <w:szCs w:val="32"/>
        </w:rPr>
      </w:pPr>
      <w:r>
        <w:rPr>
          <w:rFonts w:hint="eastAsia" w:ascii="仿宋_GB2312" w:hAnsi="仿宋_GB2312" w:eastAsia="仿宋_GB2312"/>
          <w:b/>
          <w:bCs/>
          <w:sz w:val="32"/>
          <w:szCs w:val="32"/>
        </w:rPr>
        <w:t>（6）网络信息安全“新防护”。</w:t>
      </w:r>
      <w:r>
        <w:rPr>
          <w:rFonts w:hint="eastAsia" w:ascii="仿宋_GB2312" w:hAnsi="仿宋_GB2312" w:eastAsia="仿宋_GB2312"/>
          <w:sz w:val="32"/>
          <w:szCs w:val="32"/>
        </w:rPr>
        <w:t>构建起统一运维、持续集成的网络和信息系统安全防护体系，作为保障智慧崇明建设与经济社会发展深度融合、安全应用的“防火墙”。</w:t>
      </w:r>
      <w:r>
        <w:rPr>
          <w:rFonts w:hint="eastAsia" w:ascii="仿宋_GB2312" w:hAnsi="仿宋_GB2312" w:eastAsia="仿宋_GB2312"/>
          <w:bCs/>
          <w:sz w:val="32"/>
          <w:szCs w:val="32"/>
        </w:rPr>
        <w:t>加快建成面向政务外网的网络安全态势感知平台，为所有重要网络节点和信息系统提供保护，进一步综合考虑信息基础设施、政府涉密信息、个人数据隐私等多方面安全防护需求，探索引入基于区块链的网络安全机制与实践应用，致力保障网络业务与信息传输安全通畅运行的“零失误”。同时建立健全具有韧性的网络信息安全应急机制，实现主动识别、预测并响应网络安全威胁和信息安全风险的能力。</w:t>
      </w:r>
    </w:p>
    <w:p>
      <w:pPr>
        <w:pStyle w:val="3"/>
        <w:spacing w:line="160" w:lineRule="atLeast"/>
        <w:rPr>
          <w:rFonts w:ascii="仿宋_GB2312" w:hAnsi="黑体" w:eastAsia="仿宋_GB2312"/>
          <w:bCs w:val="0"/>
        </w:rPr>
      </w:pPr>
      <w:bookmarkStart w:id="93" w:name="_Toc47451081"/>
      <w:bookmarkStart w:id="94" w:name="_Toc47450972"/>
      <w:bookmarkStart w:id="95" w:name="_Toc38801127"/>
      <w:bookmarkStart w:id="96" w:name="_Toc31703"/>
      <w:bookmarkStart w:id="97" w:name="_Toc58250516"/>
      <w:bookmarkStart w:id="98" w:name="_Toc47450689"/>
      <w:bookmarkStart w:id="99" w:name="_Toc38977984"/>
      <w:bookmarkStart w:id="100" w:name="_Toc47450108"/>
      <w:r>
        <w:rPr>
          <w:rFonts w:hint="eastAsia" w:ascii="仿宋_GB2312" w:hAnsi="黑体" w:eastAsia="仿宋_GB2312"/>
          <w:bCs w:val="0"/>
        </w:rPr>
        <w:t>（四）总体框架</w:t>
      </w:r>
      <w:bookmarkEnd w:id="93"/>
      <w:bookmarkEnd w:id="94"/>
      <w:bookmarkEnd w:id="95"/>
      <w:bookmarkEnd w:id="96"/>
      <w:bookmarkEnd w:id="97"/>
      <w:bookmarkEnd w:id="98"/>
      <w:bookmarkEnd w:id="99"/>
      <w:bookmarkEnd w:id="100"/>
    </w:p>
    <w:p>
      <w:pPr>
        <w:spacing w:line="160" w:lineRule="atLeast"/>
        <w:ind w:firstLine="640" w:firstLineChars="200"/>
        <w:rPr>
          <w:rFonts w:ascii="仿宋_GB2312" w:hAnsi="仿宋_GB2312" w:eastAsia="仿宋_GB2312"/>
          <w:sz w:val="32"/>
          <w:szCs w:val="32"/>
        </w:rPr>
      </w:pPr>
      <w:r>
        <w:rPr>
          <w:rFonts w:hint="eastAsia" w:ascii="仿宋_GB2312" w:hAnsi="仿宋_GB2312" w:eastAsia="仿宋_GB2312"/>
          <w:sz w:val="32"/>
          <w:szCs w:val="32"/>
        </w:rPr>
        <w:t>立足“具有全球引领示范作用的世界级生态岛”战略目标，坚持以现代信息产业培育体系为牵引、泛在先进的信息基础设施体系为支撑、统一开放的城市大数据体系为核心，为更好提升智慧崇明发展能力，着力提高信息化在推动社会治理完善、创新信息惠民服务、驱动绿色产业发展等重点领域的应用水平，着力优化网络与信息安全保障等发展环境，</w:t>
      </w:r>
      <w:bookmarkStart w:id="101" w:name="_Hlk44946065"/>
      <w:r>
        <w:rPr>
          <w:rFonts w:hint="eastAsia" w:ascii="仿宋_GB2312" w:hAnsi="仿宋_GB2312" w:eastAsia="仿宋_GB2312"/>
          <w:sz w:val="32"/>
          <w:szCs w:val="32"/>
        </w:rPr>
        <w:t>“智慧崇明”十四五发展规划形成以特色示范引领的</w:t>
      </w:r>
      <w:bookmarkEnd w:id="101"/>
      <w:r>
        <w:rPr>
          <w:rFonts w:hint="eastAsia" w:ascii="仿宋_GB2312" w:hAnsi="仿宋_GB2312" w:eastAsia="仿宋_GB2312"/>
          <w:sz w:val="32"/>
          <w:szCs w:val="32"/>
        </w:rPr>
        <w:t>“1</w:t>
      </w:r>
      <w:r>
        <w:rPr>
          <w:rFonts w:ascii="仿宋_GB2312" w:hAnsi="仿宋_GB2312" w:eastAsia="仿宋_GB2312"/>
          <w:sz w:val="32"/>
          <w:szCs w:val="32"/>
        </w:rPr>
        <w:t>1235</w:t>
      </w:r>
      <w:r>
        <w:rPr>
          <w:rFonts w:hint="eastAsia" w:ascii="仿宋_GB2312" w:hAnsi="仿宋_GB2312" w:eastAsia="仿宋_GB2312"/>
          <w:sz w:val="32"/>
          <w:szCs w:val="32"/>
        </w:rPr>
        <w:t>”总体框架，即“一基础、一中枢、两张网、三融合、五示范”。</w:t>
      </w:r>
    </w:p>
    <w:p>
      <w:pPr>
        <w:spacing w:line="160" w:lineRule="atLeast"/>
        <w:jc w:val="center"/>
        <w:rPr>
          <w:rFonts w:ascii="仿宋_GB2312" w:hAnsi="仿宋_GB2312" w:eastAsia="仿宋_GB2312"/>
          <w:sz w:val="32"/>
          <w:szCs w:val="32"/>
        </w:rPr>
      </w:pPr>
      <w:r>
        <w:rPr>
          <w:rFonts w:ascii="仿宋_GB2312" w:hAnsi="仿宋_GB2312" w:eastAsia="仿宋_GB2312"/>
          <w:sz w:val="32"/>
          <w:szCs w:val="32"/>
        </w:rPr>
        <w:drawing>
          <wp:inline distT="0" distB="0" distL="0" distR="0">
            <wp:extent cx="5274310" cy="6501130"/>
            <wp:effectExtent l="0" t="0" r="2540" b="13970"/>
            <wp:docPr id="2" name="图片 2" descr="C:\Users\Administrator\Desktop\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图片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4310" cy="6501222"/>
                    </a:xfrm>
                    <a:prstGeom prst="rect">
                      <a:avLst/>
                    </a:prstGeom>
                    <a:noFill/>
                    <a:ln>
                      <a:noFill/>
                    </a:ln>
                  </pic:spPr>
                </pic:pic>
              </a:graphicData>
            </a:graphic>
          </wp:inline>
        </w:drawing>
      </w:r>
    </w:p>
    <w:p>
      <w:pPr>
        <w:spacing w:after="240"/>
        <w:jc w:val="center"/>
        <w:rPr>
          <w:rFonts w:ascii="仿宋_GB2312" w:hAnsi="仿宋_GB2312" w:eastAsia="仿宋_GB2312"/>
          <w:b/>
          <w:bCs/>
          <w:szCs w:val="21"/>
        </w:rPr>
      </w:pPr>
      <w:r>
        <w:rPr>
          <w:rFonts w:hint="eastAsia" w:ascii="仿宋_GB2312" w:hAnsi="仿宋_GB2312" w:eastAsia="仿宋_GB2312"/>
          <w:b/>
          <w:bCs/>
          <w:szCs w:val="21"/>
        </w:rPr>
        <w:t>图1 “智慧崇明”十四五发展规划“1</w:t>
      </w:r>
      <w:r>
        <w:rPr>
          <w:rFonts w:ascii="仿宋_GB2312" w:hAnsi="仿宋_GB2312" w:eastAsia="仿宋_GB2312"/>
          <w:b/>
          <w:bCs/>
          <w:szCs w:val="21"/>
        </w:rPr>
        <w:t>1235</w:t>
      </w:r>
      <w:r>
        <w:rPr>
          <w:rFonts w:hint="eastAsia" w:ascii="仿宋_GB2312" w:hAnsi="仿宋_GB2312" w:eastAsia="仿宋_GB2312"/>
          <w:b/>
          <w:bCs/>
          <w:szCs w:val="21"/>
        </w:rPr>
        <w:t>”总体框架</w:t>
      </w:r>
    </w:p>
    <w:p>
      <w:pPr>
        <w:spacing w:line="160" w:lineRule="atLeas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一基础</w:t>
      </w:r>
      <w:r>
        <w:rPr>
          <w:rFonts w:hint="eastAsia" w:ascii="仿宋_GB2312" w:hAnsi="仿宋_GB2312" w:eastAsia="仿宋_GB2312"/>
          <w:sz w:val="32"/>
          <w:szCs w:val="32"/>
        </w:rPr>
        <w:t>：包括区政务云、城市通信网、区政务外网、物联网及一系列城市“神经元”终端感知设备。通过布设摄像头、传感器等智能终端“神经元节点”，构建“神经元”感知系统，实现对城市运行的全面感知。基于5G、光纤等城市基础通信网与物联网，依托政务外网，实现对海量数据信息的采集。依托区政务云，为区大数据资源平台以及各部门政务信息系统建设提供统一的计算、存储、网络和安全等资源和服务。</w:t>
      </w:r>
    </w:p>
    <w:p>
      <w:pPr>
        <w:spacing w:line="160" w:lineRule="atLeas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一中枢：</w:t>
      </w:r>
      <w:r>
        <w:rPr>
          <w:rFonts w:hint="eastAsia" w:ascii="仿宋_GB2312" w:hAnsi="仿宋_GB2312" w:eastAsia="仿宋_GB2312"/>
          <w:sz w:val="32"/>
          <w:szCs w:val="32"/>
        </w:rPr>
        <w:t>即崇明区大数据平台。通过公共数据统一管理，构建形成融合物联数据、业务数据、社会数据于一体的“数据湖”，支撑崇明区政务信息资源统筹管理和服务工作，全面驱动数据归集融合和治理开放，为生态、生产、生活“三生融合”智慧应用提供基于数据的持续赋能。并聚焦关键共性能力整合和统一赋能，将各部门共性业务能力进行抽象封装组合，为“三生融合”智慧应用提供灵活、快速支撑。</w:t>
      </w:r>
    </w:p>
    <w:p>
      <w:pPr>
        <w:spacing w:line="160" w:lineRule="atLeas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两张网</w:t>
      </w:r>
      <w:r>
        <w:rPr>
          <w:rFonts w:hint="eastAsia" w:ascii="仿宋_GB2312" w:hAnsi="仿宋_GB2312" w:eastAsia="仿宋_GB2312"/>
          <w:sz w:val="32"/>
          <w:szCs w:val="32"/>
        </w:rPr>
        <w:t>：全面实现政务服务“一网通办”和城市运行“一网统管”。针对政务服务“一网通办”，通过精简业务环节和优化再造跨部门业务流程，强化“前台综合受理、后台分类审批”，加快推进企业群众高效办成一件事、高频事项全程网办零跑动、线上线下一个窗口综合办理等智能化服务，使政务服务更加高效、便捷和精准。针对城市运行“一网统管”，秉持“系统治理、综合治理”理念，构建跨部门、跨层级的区域特色专题应用场景，强化城乡运行体征动态监测、处置效能综合评估、模拟推演辅助决策等能力，推进城乡治理全方位创新变革。</w:t>
      </w:r>
    </w:p>
    <w:p>
      <w:pPr>
        <w:spacing w:line="160" w:lineRule="atLeas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三融合</w:t>
      </w:r>
      <w:r>
        <w:rPr>
          <w:rFonts w:hint="eastAsia" w:ascii="仿宋_GB2312" w:hAnsi="仿宋_GB2312" w:eastAsia="仿宋_GB2312"/>
          <w:sz w:val="32"/>
          <w:szCs w:val="32"/>
        </w:rPr>
        <w:t>：围绕崇明生态、生产、生活，通过巩固提升智慧生态管理能级、推动农业农村数字化转型、优化拓展智慧养老服务体系等内容，全面激发“生态+魅力”、创新“生态+活力”、打造“生态+动力”，助推城乡治理智能高效、绿色产业集聚发展、人居生活品质提升，有效促进生态、生产、生活“三生”融合，形成生态化、智能化的生活生产方式。</w:t>
      </w:r>
    </w:p>
    <w:p>
      <w:pPr>
        <w:spacing w:line="160" w:lineRule="atLeast"/>
        <w:ind w:firstLine="643" w:firstLineChars="200"/>
        <w:rPr>
          <w:rFonts w:ascii="仿宋_GB2312" w:hAnsi="仿宋_GB2312" w:eastAsia="仿宋_GB2312"/>
          <w:sz w:val="32"/>
          <w:szCs w:val="32"/>
        </w:rPr>
      </w:pPr>
      <w:r>
        <w:rPr>
          <w:rFonts w:hint="eastAsia" w:ascii="仿宋_GB2312" w:hAnsi="仿宋_GB2312" w:eastAsia="仿宋_GB2312"/>
          <w:b/>
          <w:sz w:val="32"/>
          <w:szCs w:val="32"/>
        </w:rPr>
        <w:t>五示范：</w:t>
      </w:r>
      <w:r>
        <w:rPr>
          <w:rFonts w:hint="eastAsia" w:ascii="仿宋_GB2312" w:hAnsi="仿宋_GB2312" w:eastAsia="仿宋_GB2312"/>
          <w:sz w:val="32"/>
          <w:szCs w:val="32"/>
        </w:rPr>
        <w:t>积极探索塑造一批基于5G、物联网、大数据等信息技术的智慧应用特色示范建设，重点打造智慧花卉、智慧园区、智慧农场、智慧湿地、智慧村庄，全力构建全链条综合创新型的智慧应用生态圈，最终推动崇明建设成高效治理、优质人居、绿色发展的世界级生态岛。</w:t>
      </w:r>
    </w:p>
    <w:p>
      <w:pPr>
        <w:pStyle w:val="2"/>
        <w:spacing w:after="0" w:line="160" w:lineRule="atLeast"/>
        <w:rPr>
          <w:rFonts w:ascii="仿宋_GB2312" w:hAnsi="黑体" w:eastAsia="仿宋_GB2312"/>
          <w:sz w:val="32"/>
          <w:szCs w:val="32"/>
        </w:rPr>
      </w:pPr>
      <w:bookmarkStart w:id="102" w:name="_Toc58250517"/>
      <w:bookmarkStart w:id="103" w:name="_Toc1843"/>
      <w:bookmarkStart w:id="104" w:name="_Toc38977985"/>
      <w:bookmarkStart w:id="105" w:name="_Toc38801128"/>
      <w:bookmarkStart w:id="106" w:name="_Toc47451082"/>
      <w:bookmarkStart w:id="107" w:name="_Toc47450973"/>
      <w:bookmarkStart w:id="108" w:name="_Toc47450109"/>
      <w:bookmarkStart w:id="109" w:name="_Toc47450690"/>
      <w:r>
        <w:rPr>
          <w:rFonts w:hint="eastAsia" w:ascii="仿宋_GB2312" w:hAnsi="黑体" w:eastAsia="仿宋_GB2312"/>
          <w:sz w:val="32"/>
          <w:szCs w:val="32"/>
        </w:rPr>
        <w:t>三、积极探索特色示范建设，打造标杆辐射效应</w:t>
      </w:r>
      <w:bookmarkEnd w:id="102"/>
      <w:bookmarkEnd w:id="103"/>
      <w:bookmarkStart w:id="110" w:name="_Hlk42004651"/>
    </w:p>
    <w:bookmarkEnd w:id="110"/>
    <w:p>
      <w:pPr>
        <w:pStyle w:val="3"/>
        <w:spacing w:line="160" w:lineRule="atLeast"/>
        <w:rPr>
          <w:rFonts w:ascii="仿宋_GB2312" w:hAnsi="黑体" w:eastAsia="仿宋_GB2312"/>
          <w:bCs w:val="0"/>
        </w:rPr>
      </w:pPr>
      <w:bookmarkStart w:id="111" w:name="_Toc47450707"/>
      <w:bookmarkStart w:id="112" w:name="_Toc47450126"/>
      <w:bookmarkStart w:id="113" w:name="_Toc47451133"/>
      <w:bookmarkStart w:id="114" w:name="_Toc47451024"/>
      <w:bookmarkStart w:id="115" w:name="_Toc58250518"/>
      <w:bookmarkStart w:id="116" w:name="_Toc27593"/>
      <w:r>
        <w:rPr>
          <w:rFonts w:hint="eastAsia" w:ascii="仿宋_GB2312" w:hAnsi="黑体" w:eastAsia="仿宋_GB2312"/>
          <w:bCs w:val="0"/>
        </w:rPr>
        <w:t>（一）建设智慧花卉，做强花卉产业</w:t>
      </w:r>
      <w:bookmarkEnd w:id="111"/>
      <w:bookmarkEnd w:id="112"/>
      <w:bookmarkEnd w:id="113"/>
      <w:bookmarkEnd w:id="114"/>
      <w:bookmarkStart w:id="117" w:name="_Hlk42004638"/>
      <w:r>
        <w:rPr>
          <w:rFonts w:hint="eastAsia" w:ascii="仿宋_GB2312" w:hAnsi="黑体" w:eastAsia="仿宋_GB2312"/>
          <w:bCs w:val="0"/>
        </w:rPr>
        <w:t>贸易</w:t>
      </w:r>
      <w:bookmarkEnd w:id="115"/>
      <w:bookmarkEnd w:id="116"/>
    </w:p>
    <w:p>
      <w:pPr>
        <w:spacing w:after="240" w:line="160" w:lineRule="atLeast"/>
        <w:ind w:firstLine="640" w:firstLineChars="200"/>
        <w:rPr>
          <w:rFonts w:ascii="仿宋_GB2312" w:hAnsi="仿宋_GB2312" w:eastAsia="仿宋_GB2312"/>
          <w:sz w:val="32"/>
          <w:szCs w:val="32"/>
        </w:rPr>
      </w:pPr>
      <w:r>
        <w:rPr>
          <w:rFonts w:hint="eastAsia" w:ascii="仿宋_GB2312" w:hAnsi="仿宋_GB2312" w:eastAsia="仿宋_GB2312"/>
          <w:sz w:val="32"/>
          <w:szCs w:val="32"/>
        </w:rPr>
        <w:t>以“中国花卉博览会”在崇明举行为契机，利用信息化持续放大后花博溢出效应</w:t>
      </w:r>
      <w:r>
        <w:rPr>
          <w:rFonts w:hint="eastAsia" w:ascii="仿宋_GB2312" w:hAnsi="仿宋_GB2312" w:eastAsia="仿宋_GB2312" w:cs="仿宋_GB2312"/>
          <w:sz w:val="30"/>
          <w:szCs w:val="30"/>
        </w:rPr>
        <w:t>，</w:t>
      </w:r>
      <w:r>
        <w:rPr>
          <w:rFonts w:hint="eastAsia" w:ascii="仿宋_GB2312" w:hAnsi="仿宋_GB2312" w:eastAsia="仿宋_GB2312" w:cs="仿宋_GB2312"/>
          <w:sz w:val="32"/>
          <w:szCs w:val="30"/>
        </w:rPr>
        <w:t>研究后花博时代园区功能定位及永久保留场馆后续利用，将花博红利转化为发展持续动力，打造永不落幕的花博会，</w:t>
      </w:r>
      <w:r>
        <w:rPr>
          <w:rFonts w:hint="eastAsia" w:ascii="仿宋_GB2312" w:hAnsi="仿宋_GB2312" w:eastAsia="仿宋_GB2312" w:cs="仿宋_GB2312"/>
          <w:sz w:val="32"/>
          <w:szCs w:val="32"/>
        </w:rPr>
        <w:t>推动“花卉+”美丽经济发展</w:t>
      </w:r>
      <w:r>
        <w:rPr>
          <w:rFonts w:hint="eastAsia" w:ascii="仿宋_GB2312" w:hAnsi="仿宋_GB2312" w:eastAsia="仿宋_GB2312"/>
          <w:sz w:val="32"/>
          <w:szCs w:val="32"/>
        </w:rPr>
        <w:t>。基于举办花博会所采集汇聚的参展企业、参展游客、花卉品种、冷链物流等资源信息，不断拓展融合资源，通过构建智慧花卉贸易服务平台，支撑企业通过直播、VR</w:t>
      </w:r>
      <w:r>
        <w:rPr>
          <w:rFonts w:ascii="仿宋_GB2312" w:hAnsi="仿宋_GB2312" w:eastAsia="仿宋_GB2312"/>
          <w:sz w:val="32"/>
          <w:szCs w:val="32"/>
        </w:rPr>
        <w:t>/</w:t>
      </w:r>
      <w:r>
        <w:rPr>
          <w:rFonts w:hint="eastAsia" w:ascii="仿宋_GB2312" w:hAnsi="仿宋_GB2312" w:eastAsia="仿宋_GB2312"/>
          <w:sz w:val="32"/>
          <w:szCs w:val="32"/>
        </w:rPr>
        <w:t>AR沉浸体验等方式，持续在线展示特色花卉和自身优势，并通过精准分析展商、游客等参会人员和咨询人员画像、需求，创新精准匹配、贸易洽谈、线上交易、物流配送管理等服务，促进花卉贸易、市场自由化和经济全球化，提升崇明花卉在全国乃至全世界的品牌影响力。</w:t>
      </w:r>
      <w:bookmarkEnd w:id="117"/>
      <w:bookmarkStart w:id="118" w:name="_Toc47451134"/>
      <w:bookmarkStart w:id="119" w:name="_Toc47450708"/>
      <w:bookmarkStart w:id="120" w:name="_Toc47451025"/>
      <w:bookmarkStart w:id="121" w:name="_Toc47450127"/>
    </w:p>
    <w:p>
      <w:pPr>
        <w:pStyle w:val="3"/>
        <w:spacing w:line="160" w:lineRule="atLeast"/>
        <w:rPr>
          <w:rFonts w:ascii="仿宋_GB2312" w:hAnsi="黑体" w:eastAsia="仿宋_GB2312"/>
          <w:bCs w:val="0"/>
        </w:rPr>
      </w:pPr>
      <w:bookmarkStart w:id="122" w:name="_Toc19001"/>
      <w:bookmarkStart w:id="123" w:name="_Toc58250519"/>
      <w:r>
        <w:rPr>
          <w:rFonts w:hint="eastAsia" w:ascii="仿宋_GB2312" w:hAnsi="黑体" w:eastAsia="仿宋_GB2312"/>
          <w:bCs w:val="0"/>
        </w:rPr>
        <w:t>（二）建设智慧园区</w:t>
      </w:r>
      <w:bookmarkStart w:id="124" w:name="_Hlk47963225"/>
      <w:r>
        <w:rPr>
          <w:rFonts w:hint="eastAsia" w:ascii="仿宋_GB2312" w:hAnsi="黑体" w:eastAsia="仿宋_GB2312"/>
          <w:bCs w:val="0"/>
        </w:rPr>
        <w:t>，承载产业</w:t>
      </w:r>
      <w:bookmarkEnd w:id="118"/>
      <w:bookmarkEnd w:id="119"/>
      <w:bookmarkEnd w:id="120"/>
      <w:bookmarkEnd w:id="121"/>
      <w:r>
        <w:rPr>
          <w:rFonts w:hint="eastAsia" w:ascii="仿宋_GB2312" w:hAnsi="黑体" w:eastAsia="仿宋_GB2312"/>
          <w:bCs w:val="0"/>
        </w:rPr>
        <w:t>转型创新</w:t>
      </w:r>
      <w:bookmarkEnd w:id="122"/>
      <w:bookmarkEnd w:id="123"/>
      <w:bookmarkEnd w:id="124"/>
    </w:p>
    <w:p>
      <w:pPr>
        <w:ind w:firstLine="643" w:firstLineChars="200"/>
        <w:rPr>
          <w:rFonts w:ascii="仿宋_GB2312" w:hAnsi="仿宋_GB2312" w:eastAsia="仿宋_GB2312"/>
          <w:sz w:val="32"/>
          <w:szCs w:val="32"/>
        </w:rPr>
      </w:pPr>
      <w:r>
        <w:rPr>
          <w:rFonts w:hint="eastAsia" w:ascii="仿宋_GB2312" w:hAnsi="仿宋_GB2312" w:eastAsia="仿宋_GB2312"/>
          <w:b/>
          <w:sz w:val="32"/>
          <w:szCs w:val="32"/>
        </w:rPr>
        <w:t>智慧岛园区</w:t>
      </w:r>
      <w:r>
        <w:rPr>
          <w:rFonts w:hint="eastAsia" w:ascii="仿宋_GB2312" w:hAnsi="仿宋_GB2312" w:eastAsia="仿宋_GB2312"/>
          <w:sz w:val="32"/>
          <w:szCs w:val="32"/>
        </w:rPr>
        <w:t>重点聚焦5G产业、科技研发等方向，结合陈家镇高教园区建设，构建产、学、研、用协同可持续发展平台，加快崇明5G生态创新创业园、崇明世界级生态岛人才服务园建设。</w:t>
      </w:r>
      <w:r>
        <w:rPr>
          <w:rFonts w:hint="eastAsia" w:ascii="仿宋_GB2312" w:hAnsi="仿宋_GB2312" w:eastAsia="仿宋_GB2312"/>
          <w:b/>
          <w:sz w:val="32"/>
          <w:szCs w:val="32"/>
        </w:rPr>
        <w:t>富盛经济开发区</w:t>
      </w:r>
      <w:r>
        <w:rPr>
          <w:rFonts w:hint="eastAsia" w:ascii="仿宋_GB2312" w:hAnsi="仿宋_GB2312" w:eastAsia="仿宋_GB2312"/>
          <w:sz w:val="32"/>
          <w:szCs w:val="32"/>
        </w:rPr>
        <w:t>积极探索新技术应用，注重培育一批金融服务、文化体育、健康医疗等领域新兴企业，推进滨江路（新薇路-新萱路）、富盛广场等项目建设。</w:t>
      </w:r>
      <w:r>
        <w:rPr>
          <w:rFonts w:hint="eastAsia" w:ascii="仿宋_GB2312" w:hAnsi="仿宋_GB2312" w:eastAsia="仿宋_GB2312"/>
          <w:b/>
          <w:sz w:val="32"/>
          <w:szCs w:val="32"/>
        </w:rPr>
        <w:t>工业园区</w:t>
      </w:r>
      <w:r>
        <w:rPr>
          <w:rFonts w:hint="eastAsia" w:ascii="仿宋_GB2312" w:hAnsi="仿宋_GB2312" w:eastAsia="仿宋_GB2312"/>
          <w:sz w:val="32"/>
          <w:szCs w:val="32"/>
        </w:rPr>
        <w:t>依托北沿江高铁，围绕云网端一体化建设，研究推进高铁小镇建设，谋划工业设计、总部经济和文化创意产业等新业态新经济，积极构建产城融合高速发展集群。依托人工智能、大数据等技术，推进以万达广场为核心的中央商务区开发，提升</w:t>
      </w:r>
      <w:r>
        <w:rPr>
          <w:rFonts w:hint="eastAsia" w:ascii="仿宋_GB2312" w:hAnsi="仿宋_GB2312" w:eastAsia="仿宋_GB2312"/>
          <w:b/>
          <w:sz w:val="32"/>
          <w:szCs w:val="32"/>
        </w:rPr>
        <w:t>城桥镇</w:t>
      </w:r>
      <w:r>
        <w:rPr>
          <w:rFonts w:hint="eastAsia" w:ascii="仿宋_GB2312" w:hAnsi="仿宋_GB2312" w:eastAsia="仿宋_GB2312"/>
          <w:sz w:val="32"/>
          <w:szCs w:val="32"/>
        </w:rPr>
        <w:t>智慧商圈发展能级，持续提升镇区东部综合功能。以</w:t>
      </w:r>
      <w:r>
        <w:rPr>
          <w:rFonts w:hint="eastAsia" w:ascii="仿宋_GB2312" w:hAnsi="仿宋_GB2312" w:eastAsia="仿宋_GB2312"/>
          <w:b/>
          <w:sz w:val="32"/>
          <w:szCs w:val="32"/>
        </w:rPr>
        <w:t>长兴岛</w:t>
      </w:r>
      <w:r>
        <w:rPr>
          <w:rFonts w:hint="eastAsia" w:ascii="仿宋_GB2312" w:hAnsi="仿宋_GB2312" w:eastAsia="仿宋_GB2312"/>
          <w:sz w:val="32"/>
          <w:szCs w:val="32"/>
        </w:rPr>
        <w:t>为核心区域，建设低时延、高可靠、广覆盖的工业互联网基础设施，加快布局工业互联网集群，长兴海洋装备产业基地打造成为国际海洋产业高地、国际创新型企业乐园、国内高端制造业集聚地，推进上海船研所国家实验室、临港长兴科技园、海洋科技港二期、阳光海悦科创中心、芯片与集成电路创新园等项目建设。</w:t>
      </w:r>
    </w:p>
    <w:p>
      <w:pPr>
        <w:pStyle w:val="3"/>
        <w:spacing w:line="160" w:lineRule="atLeast"/>
        <w:rPr>
          <w:rFonts w:ascii="仿宋_GB2312" w:hAnsi="黑体" w:eastAsia="仿宋_GB2312"/>
          <w:bCs w:val="0"/>
        </w:rPr>
      </w:pPr>
      <w:bookmarkStart w:id="125" w:name="_Toc47451135"/>
      <w:bookmarkStart w:id="126" w:name="_Toc47450128"/>
      <w:bookmarkStart w:id="127" w:name="_Toc47451026"/>
      <w:bookmarkStart w:id="128" w:name="_Toc47450709"/>
      <w:bookmarkStart w:id="129" w:name="_Toc27078"/>
      <w:bookmarkStart w:id="130" w:name="_Toc58250520"/>
      <w:r>
        <w:rPr>
          <w:rFonts w:hint="eastAsia" w:ascii="仿宋_GB2312" w:hAnsi="黑体" w:eastAsia="仿宋_GB2312"/>
          <w:bCs w:val="0"/>
        </w:rPr>
        <w:t>（三）建设智慧农场</w:t>
      </w:r>
      <w:bookmarkStart w:id="131" w:name="_Hlk47963330"/>
      <w:bookmarkStart w:id="132" w:name="_Hlk47964519"/>
      <w:r>
        <w:rPr>
          <w:rFonts w:hint="eastAsia" w:ascii="仿宋_GB2312" w:hAnsi="黑体" w:eastAsia="仿宋_GB2312"/>
          <w:bCs w:val="0"/>
        </w:rPr>
        <w:t>，</w:t>
      </w:r>
      <w:bookmarkEnd w:id="125"/>
      <w:bookmarkEnd w:id="126"/>
      <w:bookmarkEnd w:id="127"/>
      <w:bookmarkEnd w:id="128"/>
      <w:bookmarkEnd w:id="131"/>
      <w:r>
        <w:rPr>
          <w:rFonts w:hint="eastAsia" w:ascii="仿宋_GB2312" w:hAnsi="黑体" w:eastAsia="仿宋_GB2312"/>
          <w:bCs w:val="0"/>
        </w:rPr>
        <w:t>丰富新型农业</w:t>
      </w:r>
      <w:bookmarkEnd w:id="132"/>
      <w:r>
        <w:rPr>
          <w:rFonts w:hint="eastAsia" w:ascii="仿宋_GB2312" w:hAnsi="黑体" w:eastAsia="仿宋_GB2312"/>
          <w:bCs w:val="0"/>
        </w:rPr>
        <w:t>内涵</w:t>
      </w:r>
      <w:bookmarkEnd w:id="129"/>
      <w:bookmarkEnd w:id="130"/>
    </w:p>
    <w:p>
      <w:pPr>
        <w:spacing w:after="240" w:line="160" w:lineRule="atLeast"/>
        <w:ind w:firstLine="640" w:firstLineChars="200"/>
        <w:rPr>
          <w:rFonts w:ascii="仿宋_GB2312" w:hAnsi="仿宋_GB2312" w:eastAsia="仿宋_GB2312"/>
          <w:sz w:val="32"/>
          <w:szCs w:val="32"/>
        </w:rPr>
      </w:pPr>
      <w:r>
        <w:rPr>
          <w:rFonts w:hint="eastAsia" w:ascii="仿宋_GB2312" w:hAnsi="仿宋_GB2312" w:eastAsia="仿宋_GB2312"/>
          <w:sz w:val="32"/>
          <w:szCs w:val="32"/>
        </w:rPr>
        <w:t>聚焦崇明绿色现代农业发展，加快农场信息基础设施升级，推动重点农场5G、物联网等基础网络覆盖。</w:t>
      </w:r>
      <w:r>
        <w:rPr>
          <w:rFonts w:hint="eastAsia" w:ascii="仿宋_GB2312" w:hAnsi="仿宋_GB2312" w:eastAsia="仿宋_GB2312"/>
          <w:b/>
          <w:sz w:val="32"/>
          <w:szCs w:val="32"/>
        </w:rPr>
        <w:t>以陈家镇的裕安养殖场为示范试点</w:t>
      </w:r>
      <w:r>
        <w:rPr>
          <w:rFonts w:hint="eastAsia" w:ascii="仿宋_GB2312" w:hAnsi="仿宋_GB2312" w:eastAsia="仿宋_GB2312"/>
          <w:sz w:val="32"/>
          <w:szCs w:val="32"/>
        </w:rPr>
        <w:t>，创新探索渔光互补、循环农业绿色发展应用。坚持“农业要振兴，就要插上科技的翅膀”理念，推动开展农业大数据分析应用，提升农场精准管理水平与决策分析能力，推动国家数字农业创新中心、全国农业科技成果转移服务中心等平台落地，打造长三角范围具有影响力的崇明生态农业科创中心。完善农业关键基础设施，推动规模农业生产全程机械化，</w:t>
      </w:r>
      <w:r>
        <w:rPr>
          <w:rFonts w:hint="eastAsia" w:ascii="仿宋_GB2312" w:hAnsi="仿宋_GB2312" w:eastAsia="仿宋_GB2312"/>
          <w:b/>
          <w:sz w:val="32"/>
          <w:szCs w:val="32"/>
        </w:rPr>
        <w:t>以前哨、长征、新海等特色农场为载体，</w:t>
      </w:r>
      <w:r>
        <w:rPr>
          <w:rFonts w:hint="eastAsia" w:ascii="仿宋_GB2312" w:hAnsi="仿宋_GB2312" w:eastAsia="仿宋_GB2312"/>
          <w:sz w:val="32"/>
          <w:szCs w:val="32"/>
        </w:rPr>
        <w:t>试点布局“5G+数字农场”“5G+无人农场”应用场景建设，建成不少于10家数字农场或无人农场。推动国内外新优科技、标准模式和跨界技术在崇落地试点应用。</w:t>
      </w:r>
    </w:p>
    <w:p>
      <w:pPr>
        <w:pStyle w:val="3"/>
        <w:spacing w:line="160" w:lineRule="atLeast"/>
        <w:rPr>
          <w:rFonts w:ascii="仿宋_GB2312" w:hAnsi="黑体" w:eastAsia="仿宋_GB2312"/>
          <w:bCs w:val="0"/>
        </w:rPr>
      </w:pPr>
      <w:bookmarkStart w:id="133" w:name="_Toc47450129"/>
      <w:bookmarkStart w:id="134" w:name="_Toc47450710"/>
      <w:bookmarkStart w:id="135" w:name="_Toc31800"/>
      <w:bookmarkStart w:id="136" w:name="_Toc58250521"/>
      <w:bookmarkStart w:id="137" w:name="_Toc47451136"/>
      <w:bookmarkStart w:id="138" w:name="_Toc47451027"/>
      <w:r>
        <w:rPr>
          <w:rFonts w:hint="eastAsia" w:ascii="仿宋_GB2312" w:hAnsi="黑体" w:eastAsia="仿宋_GB2312"/>
          <w:bCs w:val="0"/>
        </w:rPr>
        <w:t>（四）建设智慧湿地，支撑生态环境保护</w:t>
      </w:r>
      <w:bookmarkEnd w:id="133"/>
      <w:bookmarkEnd w:id="134"/>
      <w:bookmarkEnd w:id="135"/>
      <w:bookmarkEnd w:id="136"/>
      <w:bookmarkEnd w:id="137"/>
      <w:bookmarkEnd w:id="138"/>
    </w:p>
    <w:p>
      <w:pPr>
        <w:spacing w:after="240" w:line="160" w:lineRule="atLeast"/>
        <w:ind w:firstLine="640" w:firstLineChars="200"/>
        <w:rPr>
          <w:rFonts w:ascii="仿宋_GB2312" w:hAnsi="仿宋_GB2312" w:eastAsia="仿宋_GB2312"/>
          <w:sz w:val="32"/>
          <w:szCs w:val="32"/>
        </w:rPr>
      </w:pPr>
      <w:r>
        <w:rPr>
          <w:rFonts w:hint="eastAsia" w:ascii="仿宋_GB2312" w:hAnsi="仿宋_GB2312" w:eastAsia="仿宋_GB2312"/>
          <w:sz w:val="32"/>
          <w:szCs w:val="32"/>
        </w:rPr>
        <w:t>聚焦湿地保护和宣传教育，充分利用大数据、云平台等科技手段，推动打造集“安全防范、物种保护、科普教育、游客服务、内部管理”于一体的智慧湿地综合管理与信息服务平台，面向多类型湿地、湿地公园实施人流、水文、气象、空气质量、动植物变化等多要素的全面实时在线跟踪监测与综合可视，重点借助掌上巡护监测移动设备，加强对主要鸟类栖息地及人为干扰、防火等开展实时远程监控，提高日常巡护及数据采集能力，支撑搭建起湿地保护基础数据库、湿地科研专题数据库、湿地教育知识库。鼓励、引入互联网等市场化企业力量，围绕IP文化创意设计、生态湿地场景体验、生态科普游线制定等方面，联合开展湿地生态文旅发展建设，推动湿地旅游服务的创新发展，助力生态资源价值转化，深挖崇明“未来生态旅游目的地”发展潜力。</w:t>
      </w:r>
    </w:p>
    <w:p>
      <w:pPr>
        <w:pStyle w:val="3"/>
        <w:spacing w:line="160" w:lineRule="atLeast"/>
        <w:rPr>
          <w:rFonts w:ascii="仿宋_GB2312" w:hAnsi="黑体" w:eastAsia="仿宋_GB2312"/>
          <w:bCs w:val="0"/>
        </w:rPr>
      </w:pPr>
      <w:bookmarkStart w:id="139" w:name="_Toc58250522"/>
      <w:bookmarkStart w:id="140" w:name="_Toc19587"/>
      <w:r>
        <w:rPr>
          <w:rFonts w:hint="eastAsia" w:ascii="仿宋_GB2312" w:hAnsi="黑体" w:eastAsia="仿宋_GB2312"/>
          <w:bCs w:val="0"/>
        </w:rPr>
        <w:t>（五）建设智慧村庄，激发乡村内生活力</w:t>
      </w:r>
      <w:bookmarkEnd w:id="139"/>
      <w:bookmarkEnd w:id="140"/>
    </w:p>
    <w:p>
      <w:pPr>
        <w:spacing w:after="240" w:line="160" w:lineRule="atLeast"/>
        <w:ind w:firstLine="640" w:firstLineChars="200"/>
        <w:rPr>
          <w:rFonts w:ascii="仿宋_GB2312" w:hAnsi="仿宋_GB2312" w:eastAsia="仿宋_GB2312"/>
          <w:sz w:val="32"/>
          <w:szCs w:val="32"/>
        </w:rPr>
      </w:pPr>
      <w:r>
        <w:rPr>
          <w:rFonts w:hint="eastAsia" w:ascii="仿宋_GB2312" w:hAnsi="仿宋_GB2312" w:eastAsia="仿宋_GB2312"/>
          <w:sz w:val="32"/>
          <w:szCs w:val="32"/>
        </w:rPr>
        <w:t>按照“美丽乡村”建设的总体要求，选择一批具有条件和积极性的不同类型村庄，分期分批开展智慧村庄示范建设。鼓励各村庄结合自身资源优势，与成熟互联网平台合作开展农产品电商、农家乐互动等主题建设。深化村居信息化建设，利用数字电视网络平台发布“村居党务”、“村居事务”、“村居财务”、“便民服务”等信息，推动村级权力阳光化、规范化运行。加强村庄管理和服务能力，按需落地智能安防、流动人员管理、养老服务、农事服务、生态惠民等各类智慧化应用，并与区城市运行管理平台、基层治理相关平台实现对接和互动，赋能乡村振兴示范村建设。</w:t>
      </w:r>
    </w:p>
    <w:p>
      <w:pPr>
        <w:pStyle w:val="2"/>
        <w:spacing w:after="0" w:line="160" w:lineRule="atLeast"/>
        <w:rPr>
          <w:rFonts w:ascii="仿宋_GB2312" w:hAnsi="黑体" w:eastAsia="仿宋_GB2312"/>
          <w:sz w:val="32"/>
          <w:szCs w:val="32"/>
        </w:rPr>
      </w:pPr>
      <w:bookmarkStart w:id="141" w:name="_Toc38801139"/>
      <w:bookmarkStart w:id="142" w:name="_Toc29677"/>
      <w:bookmarkStart w:id="143" w:name="_Toc47451114"/>
      <w:bookmarkStart w:id="144" w:name="_Toc47450701"/>
      <w:bookmarkStart w:id="145" w:name="_Toc47450120"/>
      <w:bookmarkStart w:id="146" w:name="_Toc47451005"/>
      <w:bookmarkStart w:id="147" w:name="_Toc38977996"/>
      <w:bookmarkStart w:id="148" w:name="_Toc58250523"/>
      <w:r>
        <w:rPr>
          <w:rFonts w:hint="eastAsia" w:ascii="仿宋_GB2312" w:hAnsi="黑体" w:eastAsia="仿宋_GB2312"/>
          <w:sz w:val="32"/>
          <w:szCs w:val="32"/>
        </w:rPr>
        <w:t>四、加速实施三生融合战略，促进应用多元发展</w:t>
      </w:r>
      <w:bookmarkEnd w:id="141"/>
      <w:bookmarkEnd w:id="142"/>
      <w:bookmarkEnd w:id="143"/>
      <w:bookmarkEnd w:id="144"/>
      <w:bookmarkEnd w:id="145"/>
      <w:bookmarkEnd w:id="146"/>
      <w:bookmarkEnd w:id="147"/>
      <w:bookmarkEnd w:id="148"/>
    </w:p>
    <w:p>
      <w:pPr>
        <w:spacing w:line="360" w:lineRule="auto"/>
        <w:ind w:firstLine="640" w:firstLineChars="200"/>
        <w:rPr>
          <w:rFonts w:ascii="仿宋_GB2312" w:hAnsi="仿宋_GB2312" w:eastAsia="仿宋_GB2312"/>
          <w:sz w:val="32"/>
          <w:szCs w:val="28"/>
        </w:rPr>
      </w:pPr>
      <w:r>
        <w:rPr>
          <w:rFonts w:hint="eastAsia" w:ascii="仿宋_GB2312" w:hAnsi="仿宋_GB2312" w:eastAsia="仿宋_GB2312"/>
          <w:sz w:val="32"/>
          <w:szCs w:val="28"/>
        </w:rPr>
        <w:t>围绕崇明生态、生产、生活，通过巩固提升智慧生态管理能级、推动农业农村数字化转型、优化拓展智慧养老服务体系等内容，全面激发“生态+魅力”、创新“生态+活力”、打造“生态+动力”，有效推进政务信息系统整合共享，助推城乡治理智能高效、绿色产业集聚发展、人居生活品质提升，有效促进生态、生产、生活“三生”融合，形成生态化、智能化的生活生产方式。</w:t>
      </w:r>
      <w:bookmarkStart w:id="149" w:name="_Toc47451115"/>
      <w:bookmarkStart w:id="150" w:name="_Toc47451006"/>
      <w:bookmarkStart w:id="151" w:name="_Toc38977998"/>
      <w:bookmarkStart w:id="152" w:name="_Toc38801141"/>
      <w:bookmarkStart w:id="153" w:name="_Toc47450121"/>
      <w:bookmarkStart w:id="154" w:name="_Toc47450702"/>
    </w:p>
    <w:p>
      <w:pPr>
        <w:pStyle w:val="3"/>
        <w:spacing w:line="160" w:lineRule="atLeast"/>
        <w:rPr>
          <w:rFonts w:ascii="仿宋_GB2312" w:hAnsi="黑体" w:eastAsia="仿宋_GB2312"/>
          <w:bCs w:val="0"/>
        </w:rPr>
      </w:pPr>
      <w:bookmarkStart w:id="155" w:name="_Toc26432"/>
      <w:bookmarkStart w:id="156" w:name="_Toc58250524"/>
      <w:r>
        <w:rPr>
          <w:rFonts w:hint="eastAsia" w:ascii="仿宋_GB2312" w:hAnsi="黑体" w:eastAsia="仿宋_GB2312"/>
          <w:bCs w:val="0"/>
        </w:rPr>
        <w:t>（一）发挥“生态+魅力”，促进城市治理智慧高效</w:t>
      </w:r>
      <w:bookmarkEnd w:id="149"/>
      <w:bookmarkEnd w:id="150"/>
      <w:bookmarkEnd w:id="151"/>
      <w:bookmarkEnd w:id="152"/>
      <w:bookmarkEnd w:id="153"/>
      <w:bookmarkEnd w:id="154"/>
      <w:bookmarkEnd w:id="155"/>
      <w:bookmarkEnd w:id="156"/>
    </w:p>
    <w:p>
      <w:pPr>
        <w:pStyle w:val="4"/>
        <w:numPr>
          <w:ilvl w:val="1"/>
          <w:numId w:val="4"/>
        </w:numPr>
        <w:spacing w:line="160" w:lineRule="atLeast"/>
        <w:rPr>
          <w:rFonts w:ascii="仿宋_GB2312" w:hAnsi="仿宋_GB2312" w:eastAsia="仿宋_GB2312"/>
          <w:sz w:val="32"/>
          <w:szCs w:val="32"/>
        </w:rPr>
      </w:pPr>
      <w:bookmarkStart w:id="157" w:name="_Toc47451116"/>
      <w:bookmarkStart w:id="158" w:name="_Toc47451007"/>
      <w:r>
        <w:rPr>
          <w:rFonts w:hint="eastAsia" w:ascii="仿宋_GB2312" w:hAnsi="仿宋_GB2312" w:eastAsia="仿宋_GB2312"/>
          <w:sz w:val="32"/>
          <w:szCs w:val="32"/>
        </w:rPr>
        <w:t>建设绿色生态交通体系</w:t>
      </w:r>
      <w:bookmarkEnd w:id="157"/>
      <w:bookmarkEnd w:id="158"/>
    </w:p>
    <w:p>
      <w:pPr>
        <w:spacing w:line="360" w:lineRule="auto"/>
        <w:ind w:firstLine="643" w:firstLineChars="200"/>
        <w:rPr>
          <w:rFonts w:ascii="仿宋_GB2312" w:hAnsi="仿宋_GB2312" w:eastAsia="仿宋_GB2312"/>
          <w:sz w:val="32"/>
          <w:szCs w:val="28"/>
        </w:rPr>
      </w:pPr>
      <w:bookmarkStart w:id="159" w:name="_Toc47451008"/>
      <w:bookmarkStart w:id="160" w:name="_Toc47451117"/>
      <w:r>
        <w:rPr>
          <w:rFonts w:hint="eastAsia" w:ascii="仿宋_GB2312" w:hAnsi="仿宋_GB2312" w:eastAsia="仿宋_GB2312"/>
          <w:b/>
          <w:bCs/>
          <w:sz w:val="32"/>
          <w:szCs w:val="28"/>
        </w:rPr>
        <w:t>围绕智能交通基础支撑</w:t>
      </w:r>
      <w:r>
        <w:rPr>
          <w:rFonts w:hint="eastAsia" w:ascii="仿宋_GB2312" w:hAnsi="仿宋_GB2312" w:eastAsia="仿宋_GB2312"/>
          <w:sz w:val="32"/>
          <w:szCs w:val="28"/>
        </w:rPr>
        <w:t>，聚焦重点路段、隧道、码头、跨江大桥等重要节点，部署应用上海城运系统公安道路交通管理子系统（IDPS）属地配套、智能信号灯、智能电子站牌、5G无人机、视频监控等设施，构建形成水陆智能交通监测网络，打造崇明智能交通全景感知体系，加快推进全区交通路网全域、全时、全要素精准感知。</w:t>
      </w:r>
      <w:r>
        <w:rPr>
          <w:rFonts w:hint="eastAsia" w:ascii="仿宋_GB2312" w:hAnsi="仿宋_GB2312" w:eastAsia="仿宋_GB2312"/>
          <w:b/>
          <w:bCs/>
          <w:sz w:val="32"/>
          <w:szCs w:val="28"/>
        </w:rPr>
        <w:t>围绕智能交通运行管理</w:t>
      </w:r>
      <w:r>
        <w:rPr>
          <w:rFonts w:hint="eastAsia" w:ascii="仿宋_GB2312" w:hAnsi="仿宋_GB2312" w:eastAsia="仿宋_GB2312"/>
          <w:sz w:val="32"/>
          <w:szCs w:val="28"/>
        </w:rPr>
        <w:t>，建设智能路网监测管理与应急处置平台，汇聚实时交通流数据，智能协调常规道路与跨江通道等快速路的交通控制，充分利用路网的通行能力，高效疏导交通流，缓解上海长江大桥等重要节点的交通拥堵现象。优化崇明交通行业监管平台，构建形成崇明交通大数据，建设崇明智能交通全面监管体系，推进全区交通综合运行态势动态可视化、调配管理科学化、应急处置高效协同化、行业监管全面精细化。</w:t>
      </w:r>
      <w:r>
        <w:rPr>
          <w:rFonts w:hint="eastAsia" w:ascii="仿宋_GB2312" w:hAnsi="仿宋_GB2312" w:eastAsia="仿宋_GB2312"/>
          <w:b/>
          <w:bCs/>
          <w:sz w:val="32"/>
          <w:szCs w:val="28"/>
        </w:rPr>
        <w:t>围绕公共交通出行</w:t>
      </w:r>
      <w:r>
        <w:rPr>
          <w:rFonts w:hint="eastAsia" w:ascii="仿宋_GB2312" w:hAnsi="仿宋_GB2312" w:eastAsia="仿宋_GB2312"/>
          <w:sz w:val="32"/>
          <w:szCs w:val="28"/>
        </w:rPr>
        <w:t>，基于绿色低碳理念，整合汇聚水陆交通信息资源，强化公交巴士、轮渡智能化运营调度、配套设施协同高效管理，并构建水路协同立体交通体系，打造涵盖公交、轮渡、出租车等各类交通方式的绿色出行智能助手，提供“门到门”的实时交通信息和全程出行即时服务，满足群众日益增长的快速、便捷的公共交通出行需求。</w:t>
      </w:r>
    </w:p>
    <w:p>
      <w:pPr>
        <w:pStyle w:val="4"/>
        <w:numPr>
          <w:ilvl w:val="1"/>
          <w:numId w:val="4"/>
        </w:numPr>
        <w:spacing w:line="160" w:lineRule="atLeast"/>
        <w:rPr>
          <w:rFonts w:ascii="仿宋_GB2312" w:hAnsi="仿宋_GB2312" w:eastAsia="仿宋_GB2312"/>
          <w:sz w:val="32"/>
          <w:szCs w:val="32"/>
        </w:rPr>
      </w:pPr>
      <w:r>
        <w:rPr>
          <w:rFonts w:hint="eastAsia" w:ascii="仿宋_GB2312" w:hAnsi="仿宋_GB2312" w:eastAsia="仿宋_GB2312"/>
          <w:sz w:val="32"/>
          <w:szCs w:val="32"/>
        </w:rPr>
        <w:t>深化生态智联体系建设</w:t>
      </w:r>
      <w:bookmarkEnd w:id="159"/>
      <w:bookmarkEnd w:id="160"/>
    </w:p>
    <w:p>
      <w:pPr>
        <w:spacing w:line="160" w:lineRule="atLeast"/>
        <w:ind w:firstLine="640" w:firstLineChars="200"/>
        <w:rPr>
          <w:rFonts w:ascii="仿宋_GB2312" w:hAnsi="仿宋_GB2312" w:eastAsia="仿宋_GB2312"/>
          <w:sz w:val="32"/>
          <w:szCs w:val="32"/>
        </w:rPr>
      </w:pPr>
      <w:r>
        <w:rPr>
          <w:rFonts w:hint="eastAsia" w:ascii="仿宋_GB2312" w:hAnsi="仿宋_GB2312" w:eastAsia="仿宋_GB2312"/>
          <w:sz w:val="32"/>
          <w:szCs w:val="32"/>
        </w:rPr>
        <w:t>基于物联专网，有效整合相关数据资源，依托5G、AI等技术，建设全场景感知系统，推动实施动态环境感知与实时监测，形成对全岛空气、水域、土壤等全要素管理，推动横沙乡生态智联实践区向全区复制，逐步建立“天空地”一体化全要素生态环境监测示范，打造覆盖全岛的可计量、可对标、可参与、可评估的绿色资产负债体系。针对东滩、西沙、北湖、东平、青草沙湿地等重要生态主体，推进涵盖智慧水务、智慧海塘、智慧湿地、智慧河湖等应用模块的综合管理平台建设，推动海塘、湿地等全生命周期管理，加强湿地面积总量管控能力。汇聚水资源、水环境、防汛防台管理等方面相关数据资源，协同启东、海门两地完善区域防洪除涝信息管控系统建设，助力提升区域防洪防涝能力。进一步创新智慧水务监管手段，在河湖进出口、水事违法活动多发地等关键点位，探索应用远程视频监控、无人机巡航等手段24小时闭环监管水体水质、非法捕捞、河道保洁、岸线保护等，实现监管无盲区。推进岛内各类能源使用的智能管控，以崇明公共建筑用能监管信息平台为基础，对园区、建筑、企业用能实时采集并集中管理，形成能耗数据分析、高耗能提醒、节能综合建议等功能全覆盖的智慧能源体系。</w:t>
      </w:r>
    </w:p>
    <w:p>
      <w:pPr>
        <w:pStyle w:val="4"/>
        <w:numPr>
          <w:ilvl w:val="1"/>
          <w:numId w:val="4"/>
        </w:numPr>
        <w:spacing w:line="160" w:lineRule="atLeast"/>
        <w:rPr>
          <w:rFonts w:ascii="仿宋_GB2312" w:hAnsi="仿宋_GB2312" w:eastAsia="仿宋_GB2312"/>
          <w:sz w:val="32"/>
          <w:szCs w:val="32"/>
        </w:rPr>
      </w:pPr>
      <w:bookmarkStart w:id="161" w:name="_Toc47451009"/>
      <w:bookmarkStart w:id="162" w:name="_Toc47451118"/>
      <w:r>
        <w:rPr>
          <w:rFonts w:hint="eastAsia" w:ascii="仿宋_GB2312" w:hAnsi="仿宋_GB2312" w:eastAsia="仿宋_GB2312"/>
          <w:sz w:val="32"/>
          <w:szCs w:val="32"/>
        </w:rPr>
        <w:t>创建智慧美丽的新市容</w:t>
      </w:r>
      <w:bookmarkEnd w:id="161"/>
      <w:bookmarkEnd w:id="162"/>
    </w:p>
    <w:p>
      <w:pPr>
        <w:spacing w:line="160" w:lineRule="atLeast"/>
        <w:ind w:firstLine="640" w:firstLineChars="200"/>
        <w:rPr>
          <w:rFonts w:ascii="仿宋_GB2312" w:hAnsi="仿宋_GB2312" w:eastAsia="仿宋_GB2312"/>
          <w:sz w:val="32"/>
          <w:szCs w:val="32"/>
        </w:rPr>
      </w:pPr>
      <w:r>
        <w:rPr>
          <w:rFonts w:hint="eastAsia" w:ascii="仿宋_GB2312" w:hAnsi="仿宋_GB2312" w:eastAsia="仿宋_GB2312"/>
          <w:sz w:val="32"/>
          <w:szCs w:val="32"/>
        </w:rPr>
        <w:t>利用新兴信息化技术，深化智慧环卫建设，推动城市照明系统智能化升级，全面提升市容市貌管理智能化、精细化、规范化水平，努力营造整洁、优美的城市环境。</w:t>
      </w:r>
      <w:r>
        <w:rPr>
          <w:rFonts w:hint="eastAsia" w:ascii="仿宋_GB2312" w:hAnsi="仿宋_GB2312" w:eastAsia="仿宋_GB2312"/>
          <w:b/>
          <w:bCs/>
          <w:sz w:val="32"/>
          <w:szCs w:val="32"/>
        </w:rPr>
        <w:t>围绕智慧环卫建设</w:t>
      </w:r>
      <w:r>
        <w:rPr>
          <w:rFonts w:hint="eastAsia" w:ascii="仿宋_GB2312" w:hAnsi="仿宋_GB2312" w:eastAsia="仿宋_GB2312"/>
          <w:sz w:val="32"/>
          <w:szCs w:val="32"/>
        </w:rPr>
        <w:t>，聚焦工地菜场周边、公路沿线、老旧小区等市容管理薄弱环节，加强对全区垃圾转运站及垃圾处理设施视频监管、垃圾清运量统计和垃圾运输车辆GPS监管，强化市容环卫管理设施、场地、人员、视频监控等关联内容的融合贯通。创新拓展5G、人工智能等技术在垃圾收集分类精细化智能化管理、资源再生利用等方面的应用场景。加快实现市容环卫管理“地面有监控，图上有定位，处理有手段”。</w:t>
      </w:r>
      <w:r>
        <w:rPr>
          <w:rFonts w:hint="eastAsia" w:ascii="仿宋_GB2312" w:hAnsi="仿宋_GB2312" w:eastAsia="仿宋_GB2312"/>
          <w:b/>
          <w:bCs/>
          <w:sz w:val="32"/>
          <w:szCs w:val="32"/>
        </w:rPr>
        <w:t>围绕照明系统智慧化升级</w:t>
      </w:r>
      <w:r>
        <w:rPr>
          <w:rFonts w:hint="eastAsia" w:ascii="仿宋_GB2312" w:hAnsi="仿宋_GB2312" w:eastAsia="仿宋_GB2312"/>
          <w:sz w:val="32"/>
          <w:szCs w:val="32"/>
        </w:rPr>
        <w:t>，推动全区照明亮化工作，建立崇明区道路照明一体化管理平台，形成道路照明设施基础资料库、设备台账和运行维护信息库，通过大数据共享和资源整合，对照明系统进行全面感知、协同运行、高效管理、智能控制，实现道路照明基础设施的远程监控、重要时段道路照明开关灯时间自动调整、设备故障或发生突发事件时及时知晓、绿色节能、维修养护信息化等管理目标，提升应急响应的速度和处置效率，维持道路照明系统的可靠和安全运行，进一步提升全区市容形象。</w:t>
      </w:r>
      <w:bookmarkStart w:id="163" w:name="_Toc47451010"/>
      <w:bookmarkStart w:id="164" w:name="_Toc47451119"/>
    </w:p>
    <w:p>
      <w:pPr>
        <w:pStyle w:val="4"/>
        <w:numPr>
          <w:ilvl w:val="1"/>
          <w:numId w:val="4"/>
        </w:numPr>
        <w:spacing w:line="160" w:lineRule="atLeast"/>
        <w:rPr>
          <w:rFonts w:ascii="仿宋_GB2312" w:hAnsi="仿宋_GB2312" w:eastAsia="仿宋_GB2312"/>
          <w:sz w:val="32"/>
          <w:szCs w:val="32"/>
        </w:rPr>
      </w:pPr>
      <w:r>
        <w:rPr>
          <w:rFonts w:hint="eastAsia" w:ascii="仿宋_GB2312" w:hAnsi="仿宋_GB2312" w:eastAsia="仿宋_GB2312"/>
          <w:sz w:val="32"/>
          <w:szCs w:val="32"/>
        </w:rPr>
        <w:t>构建精准治安防控体系</w:t>
      </w:r>
      <w:bookmarkEnd w:id="163"/>
      <w:bookmarkEnd w:id="164"/>
    </w:p>
    <w:p>
      <w:pPr>
        <w:spacing w:line="160" w:lineRule="atLeast"/>
        <w:ind w:firstLine="640" w:firstLineChars="200"/>
        <w:rPr>
          <w:rFonts w:ascii="仿宋_GB2312" w:hAnsi="仿宋_GB2312" w:eastAsia="仿宋_GB2312"/>
          <w:sz w:val="32"/>
          <w:szCs w:val="32"/>
        </w:rPr>
      </w:pPr>
      <w:r>
        <w:rPr>
          <w:rFonts w:hint="eastAsia" w:ascii="仿宋_GB2312" w:hAnsi="仿宋_GB2312" w:eastAsia="仿宋_GB2312"/>
          <w:sz w:val="32"/>
          <w:szCs w:val="32"/>
        </w:rPr>
        <w:t>聚焦崇明地域广、人口少的特点，围绕警力不足等问题，以雪亮工程、智慧公安建设为抓手，在已有视频监控探头的覆盖基础上，按照“城市要增密、农村全覆盖、前端带智能”的整体要求，继续扩大视频监控网的覆盖面，增强覆盖质量，并通过多种方式整合社会面分散的视频资源，疏通“毛细血管”解决最后一公里的覆盖问题。以陈家镇为试点，推进“智慧社区”建设，部署车辆卡口系统、高清抓拍探头、“刷脸”通行系统等，打造以科技为支撑的“防盗网”，提高城市安全防范的整体技术能力和水平。构建跨区域、跨层级、跨部门的应急联动机制，统筹协调区各相关部门，建立集中、统一、权威、高效的应急联动指挥管理体系，配套建设区级到各乡镇、有关重点单位的智能视频会议系统，满足各相关部门应急指挥的需求。</w:t>
      </w:r>
    </w:p>
    <w:p>
      <w:pPr>
        <w:pStyle w:val="4"/>
        <w:numPr>
          <w:ilvl w:val="1"/>
          <w:numId w:val="4"/>
        </w:numPr>
        <w:spacing w:line="160" w:lineRule="atLeast"/>
        <w:rPr>
          <w:rFonts w:ascii="仿宋_GB2312" w:hAnsi="仿宋_GB2312" w:eastAsia="仿宋_GB2312"/>
          <w:sz w:val="32"/>
          <w:szCs w:val="32"/>
        </w:rPr>
      </w:pPr>
      <w:bookmarkStart w:id="165" w:name="_Toc47451011"/>
      <w:bookmarkStart w:id="166" w:name="_Toc47451120"/>
      <w:r>
        <w:rPr>
          <w:rFonts w:hint="eastAsia" w:ascii="仿宋_GB2312" w:hAnsi="仿宋_GB2312" w:eastAsia="仿宋_GB2312"/>
          <w:sz w:val="32"/>
          <w:szCs w:val="32"/>
        </w:rPr>
        <w:t>创新协同精准监管</w:t>
      </w:r>
      <w:bookmarkEnd w:id="165"/>
      <w:bookmarkEnd w:id="166"/>
      <w:r>
        <w:rPr>
          <w:rFonts w:hint="eastAsia" w:ascii="仿宋_GB2312" w:hAnsi="仿宋_GB2312" w:eastAsia="仿宋_GB2312"/>
          <w:sz w:val="32"/>
          <w:szCs w:val="32"/>
        </w:rPr>
        <w:t>模式</w:t>
      </w:r>
    </w:p>
    <w:p>
      <w:pPr>
        <w:spacing w:after="240" w:line="160" w:lineRule="atLeast"/>
        <w:ind w:firstLine="640" w:firstLineChars="200"/>
        <w:rPr>
          <w:rFonts w:ascii="仿宋_GB2312" w:hAnsi="仿宋_GB2312" w:eastAsia="仿宋_GB2312"/>
          <w:sz w:val="32"/>
          <w:szCs w:val="32"/>
        </w:rPr>
      </w:pPr>
      <w:r>
        <w:rPr>
          <w:rFonts w:hint="eastAsia" w:ascii="仿宋_GB2312" w:hAnsi="仿宋_GB2312" w:eastAsia="仿宋_GB2312"/>
          <w:sz w:val="32"/>
          <w:szCs w:val="32"/>
        </w:rPr>
        <w:t>遵循市、区两级“互联网+监管”体系，强化“互联网+监管”平台使用效能，利用新兴技术扩大移动监管、非现场监管范围，支撑开发满足崇明特色监管需要的应用场景。</w:t>
      </w:r>
      <w:r>
        <w:rPr>
          <w:rFonts w:hint="eastAsia" w:ascii="仿宋_GB2312" w:hAnsi="仿宋_GB2312" w:eastAsia="仿宋_GB2312"/>
          <w:b/>
          <w:bCs/>
          <w:sz w:val="32"/>
          <w:szCs w:val="32"/>
        </w:rPr>
        <w:t>围绕市场管理，</w:t>
      </w:r>
      <w:r>
        <w:rPr>
          <w:rFonts w:hint="eastAsia" w:ascii="仿宋_GB2312" w:hAnsi="仿宋_GB2312" w:eastAsia="仿宋_GB2312"/>
          <w:sz w:val="32"/>
          <w:szCs w:val="32"/>
        </w:rPr>
        <w:t>聚焦食品安全、地产特色农产品、特种设备、药品、医疗器械等重点监管对象，推进“智慧食安”项目以及涵盖食品、农产品、特种设备、药品器械等内容的智能化追溯管理体系建设，推动实现信用监管、精准监管、协同监管、联合监管、动态监管，有效提升监管效率。</w:t>
      </w:r>
      <w:r>
        <w:rPr>
          <w:rFonts w:hint="eastAsia" w:ascii="仿宋_GB2312" w:hAnsi="仿宋_GB2312" w:eastAsia="仿宋_GB2312"/>
          <w:b/>
          <w:bCs/>
          <w:sz w:val="32"/>
          <w:szCs w:val="32"/>
        </w:rPr>
        <w:t>围绕危险化学品管理</w:t>
      </w:r>
      <w:r>
        <w:rPr>
          <w:rFonts w:hint="eastAsia" w:ascii="仿宋_GB2312" w:hAnsi="仿宋_GB2312" w:eastAsia="仿宋_GB2312"/>
          <w:sz w:val="32"/>
          <w:szCs w:val="32"/>
        </w:rPr>
        <w:t>，建设崇明区危险化学品信息“一张图”及其分析系统，采集汇聚危险化学品企业的基础数据和风险隐患感知数据，逐步实现对危险化学品生产、经营、存储、运输、使用、处置等各个环节的信息共享和闭环精准监管。</w:t>
      </w:r>
      <w:r>
        <w:rPr>
          <w:rFonts w:hint="eastAsia" w:ascii="仿宋_GB2312" w:hAnsi="仿宋_GB2312" w:eastAsia="仿宋_GB2312"/>
          <w:b/>
          <w:bCs/>
          <w:sz w:val="32"/>
          <w:szCs w:val="32"/>
        </w:rPr>
        <w:t>围绕资源 管理</w:t>
      </w:r>
      <w:r>
        <w:rPr>
          <w:rFonts w:hint="eastAsia" w:ascii="仿宋_GB2312" w:hAnsi="仿宋_GB2312" w:eastAsia="仿宋_GB2312"/>
          <w:sz w:val="32"/>
          <w:szCs w:val="32"/>
        </w:rPr>
        <w:t>，建设国土资源基础数据，打造“智慧国土”平台，构建形成全天候的自然资源动态监测网络和监管体系，为资源监管、国土空间优化开发提供有效支撑。</w:t>
      </w:r>
    </w:p>
    <w:p>
      <w:pPr>
        <w:pStyle w:val="3"/>
        <w:spacing w:line="160" w:lineRule="atLeast"/>
        <w:rPr>
          <w:rFonts w:ascii="仿宋_GB2312" w:hAnsi="黑体" w:eastAsia="仿宋_GB2312"/>
          <w:bCs w:val="0"/>
        </w:rPr>
      </w:pPr>
      <w:bookmarkStart w:id="167" w:name="_Toc38801140"/>
      <w:bookmarkStart w:id="168" w:name="_Toc31040"/>
      <w:bookmarkStart w:id="169" w:name="_Toc58250525"/>
      <w:bookmarkStart w:id="170" w:name="_Toc47450122"/>
      <w:bookmarkStart w:id="171" w:name="_Toc47451012"/>
      <w:bookmarkStart w:id="172" w:name="_Toc38977997"/>
      <w:bookmarkStart w:id="173" w:name="_Toc47450703"/>
      <w:bookmarkStart w:id="174" w:name="_Toc47451121"/>
      <w:r>
        <w:rPr>
          <w:rFonts w:hint="eastAsia" w:ascii="仿宋_GB2312" w:hAnsi="黑体" w:eastAsia="仿宋_GB2312"/>
          <w:bCs w:val="0"/>
        </w:rPr>
        <w:t>（二）创新“生态+活力”，促进人居生活美好品质</w:t>
      </w:r>
      <w:bookmarkEnd w:id="167"/>
      <w:bookmarkEnd w:id="168"/>
      <w:bookmarkEnd w:id="169"/>
      <w:bookmarkEnd w:id="170"/>
      <w:bookmarkEnd w:id="171"/>
      <w:bookmarkEnd w:id="172"/>
      <w:bookmarkEnd w:id="173"/>
      <w:bookmarkEnd w:id="174"/>
    </w:p>
    <w:p>
      <w:pPr>
        <w:pStyle w:val="4"/>
        <w:numPr>
          <w:ilvl w:val="1"/>
          <w:numId w:val="5"/>
        </w:numPr>
        <w:spacing w:line="160" w:lineRule="atLeast"/>
        <w:rPr>
          <w:rFonts w:ascii="仿宋_GB2312" w:hAnsi="仿宋_GB2312" w:eastAsia="仿宋_GB2312"/>
          <w:sz w:val="32"/>
          <w:szCs w:val="32"/>
        </w:rPr>
      </w:pPr>
      <w:bookmarkStart w:id="175" w:name="_Toc47451013"/>
      <w:bookmarkStart w:id="176" w:name="_Toc47451122"/>
      <w:bookmarkStart w:id="177" w:name="_Hlk47962652"/>
      <w:r>
        <w:rPr>
          <w:rFonts w:hint="eastAsia" w:ascii="仿宋_GB2312" w:hAnsi="仿宋_GB2312" w:eastAsia="仿宋_GB2312"/>
          <w:sz w:val="32"/>
          <w:szCs w:val="32"/>
        </w:rPr>
        <w:t>深化智慧医疗健康服务</w:t>
      </w:r>
      <w:bookmarkEnd w:id="175"/>
      <w:bookmarkEnd w:id="176"/>
    </w:p>
    <w:bookmarkEnd w:id="177"/>
    <w:p>
      <w:pPr>
        <w:spacing w:line="160" w:lineRule="atLeast"/>
        <w:ind w:firstLine="640" w:firstLineChars="200"/>
        <w:rPr>
          <w:rFonts w:ascii="仿宋_GB2312" w:hAnsi="仿宋_GB2312" w:eastAsia="仿宋_GB2312" w:cstheme="majorBidi"/>
          <w:sz w:val="32"/>
          <w:szCs w:val="32"/>
        </w:rPr>
      </w:pPr>
      <w:r>
        <w:rPr>
          <w:rFonts w:hint="eastAsia" w:ascii="仿宋_GB2312" w:hAnsi="仿宋_GB2312" w:eastAsia="仿宋_GB2312" w:cstheme="majorBidi"/>
          <w:sz w:val="32"/>
          <w:szCs w:val="32"/>
        </w:rPr>
        <w:t>构建区域医联体信息平台，以“新华—崇明区域医联体”为核心载体，推进信息化在医保精细化管理、双向转诊绿色通道、医疗质量管理等方面支撑，使医联体内的医疗资源和信息资源充分贯通，推进医疗大数据建设，不断优化医疗救助信息系统，逐步实现不同社会救助部门对救助对象的统一管理和救助信息的共享互通，探索最优化分配医疗救助资源。创新线上线下一体化的医疗健康协同监管和联防联控机制，逐步构建区域医疗卫生全流程智能监管体系，提升重大疾病防控和突发公共卫生事件应急协作能力。立足新华崇明分院、十院崇明分院、岳阳医院崇明分院，试点建设“互联网+医疗”、“互联网+护理服务</w:t>
      </w:r>
      <w:bookmarkStart w:id="178" w:name="_Hlk51596319"/>
      <w:r>
        <w:rPr>
          <w:rFonts w:hint="eastAsia" w:ascii="仿宋_GB2312" w:hAnsi="仿宋_GB2312" w:eastAsia="仿宋_GB2312" w:cstheme="majorBidi"/>
          <w:sz w:val="32"/>
          <w:szCs w:val="32"/>
        </w:rPr>
        <w:t>”以及“以急救病人为中心的急救智能辅助体系”</w:t>
      </w:r>
      <w:bookmarkEnd w:id="178"/>
      <w:r>
        <w:rPr>
          <w:rFonts w:hint="eastAsia" w:ascii="仿宋_GB2312" w:hAnsi="仿宋_GB2312" w:eastAsia="仿宋_GB2312" w:cstheme="majorBidi"/>
          <w:sz w:val="32"/>
          <w:szCs w:val="32"/>
        </w:rPr>
        <w:t>，</w:t>
      </w:r>
      <w:bookmarkStart w:id="179" w:name="_Hlk51596346"/>
      <w:r>
        <w:rPr>
          <w:rFonts w:hint="eastAsia" w:ascii="仿宋_GB2312" w:hAnsi="仿宋_GB2312" w:eastAsia="仿宋_GB2312" w:cstheme="majorBidi"/>
          <w:sz w:val="32"/>
          <w:szCs w:val="32"/>
        </w:rPr>
        <w:t>运用互联网等技术，</w:t>
      </w:r>
      <w:bookmarkEnd w:id="179"/>
      <w:r>
        <w:rPr>
          <w:rFonts w:hint="eastAsia" w:ascii="仿宋_GB2312" w:hAnsi="仿宋_GB2312" w:eastAsia="仿宋_GB2312" w:cstheme="majorBidi"/>
          <w:sz w:val="32"/>
          <w:szCs w:val="32"/>
        </w:rPr>
        <w:t>积极推进人机协同临床智能诊疗新模式，创新智能影像识别、病理分析和智能多学科会诊等应用场景</w:t>
      </w:r>
      <w:bookmarkStart w:id="180" w:name="_Hlk51596363"/>
      <w:r>
        <w:rPr>
          <w:rFonts w:hint="eastAsia" w:ascii="仿宋_GB2312" w:hAnsi="仿宋_GB2312" w:eastAsia="仿宋_GB2312" w:cstheme="majorBidi"/>
          <w:sz w:val="32"/>
          <w:szCs w:val="32"/>
        </w:rPr>
        <w:t>，缩短就医诊疗时间，提升就医服务体验。建设医疗健康大数据公共服务平台，开展基于5G网络的远程医疗、健康咨询、健康管理服务，探索AI智能读片和AI中医体征识别等新模式，促进医院、医务人员、患者之间的有效沟通。</w:t>
      </w:r>
      <w:bookmarkEnd w:id="180"/>
      <w:r>
        <w:rPr>
          <w:rFonts w:hint="eastAsia" w:ascii="仿宋_GB2312" w:hAnsi="仿宋_GB2312" w:eastAsia="仿宋_GB2312" w:cstheme="majorBidi"/>
          <w:sz w:val="32"/>
          <w:szCs w:val="32"/>
        </w:rPr>
        <w:t>推动就医服务模式创新，打造信用就医、远程会诊、在线就医等新型诊疗方式，探索建设互联网医院平台，为患者提供在线咨询、预约挂号、远程问诊、智能诊断、在线开方、智能审方等线上服务，缓解线下就医压力。</w:t>
      </w:r>
      <w:bookmarkStart w:id="181" w:name="_Hlk51596524"/>
      <w:r>
        <w:rPr>
          <w:rFonts w:hint="eastAsia" w:ascii="仿宋_GB2312" w:hAnsi="仿宋_GB2312" w:eastAsia="仿宋_GB2312" w:cstheme="majorBidi"/>
          <w:sz w:val="32"/>
          <w:szCs w:val="32"/>
        </w:rPr>
        <w:t>聚焦崇明新海镇、东平镇、长兴镇等乡镇，全面推广应用“智慧健康小屋”，并逐步实现三岛全覆盖，为民众提供健康自测检查、自我评估、指导干预等服务，加强与市“健康云”的互联互通，实现所有数据的再利用。</w:t>
      </w:r>
      <w:bookmarkEnd w:id="181"/>
    </w:p>
    <w:p>
      <w:pPr>
        <w:pStyle w:val="4"/>
        <w:numPr>
          <w:ilvl w:val="1"/>
          <w:numId w:val="5"/>
        </w:numPr>
        <w:spacing w:line="160" w:lineRule="atLeast"/>
        <w:rPr>
          <w:rFonts w:ascii="仿宋_GB2312" w:hAnsi="仿宋_GB2312" w:eastAsia="仿宋_GB2312"/>
          <w:sz w:val="32"/>
          <w:szCs w:val="32"/>
        </w:rPr>
      </w:pPr>
      <w:bookmarkStart w:id="182" w:name="_Toc47451014"/>
      <w:bookmarkStart w:id="183" w:name="_Toc47451123"/>
      <w:bookmarkStart w:id="184" w:name="_Hlk47962661"/>
      <w:r>
        <w:rPr>
          <w:rFonts w:hint="eastAsia" w:ascii="仿宋_GB2312" w:hAnsi="仿宋_GB2312" w:eastAsia="仿宋_GB2312"/>
          <w:sz w:val="32"/>
          <w:szCs w:val="32"/>
        </w:rPr>
        <w:t>均衡优质普惠教育服务</w:t>
      </w:r>
      <w:bookmarkEnd w:id="182"/>
      <w:bookmarkEnd w:id="183"/>
    </w:p>
    <w:bookmarkEnd w:id="184"/>
    <w:p>
      <w:pPr>
        <w:spacing w:line="160" w:lineRule="atLeast"/>
        <w:ind w:firstLine="640" w:firstLineChars="200"/>
        <w:rPr>
          <w:rFonts w:ascii="仿宋_GB2312" w:hAnsi="仿宋_GB2312" w:eastAsia="仿宋_GB2312" w:cstheme="majorBidi"/>
          <w:sz w:val="32"/>
          <w:szCs w:val="32"/>
        </w:rPr>
      </w:pPr>
      <w:r>
        <w:rPr>
          <w:rFonts w:hint="eastAsia" w:ascii="仿宋_GB2312" w:hAnsi="仿宋_GB2312" w:eastAsia="仿宋_GB2312" w:cstheme="majorBidi"/>
          <w:sz w:val="32"/>
          <w:szCs w:val="32"/>
        </w:rPr>
        <w:t>打造以5G为基础的泛在感知教育网络，实现核心网络安全架构升级换代与带宽提升，强化基础网络支撑能力。推进区教育数据中心建设，融入对接市级教育信息化应用平台，强化教育资源共享，并全面整合学生、教师、学校数据，</w:t>
      </w:r>
      <w:bookmarkStart w:id="185" w:name="_Hlk51596558"/>
      <w:r>
        <w:rPr>
          <w:rFonts w:hint="eastAsia" w:ascii="仿宋_GB2312" w:hAnsi="仿宋_GB2312" w:eastAsia="仿宋_GB2312" w:cstheme="majorBidi"/>
          <w:sz w:val="32"/>
          <w:szCs w:val="32"/>
        </w:rPr>
        <w:t>围绕教学、教研、科研，</w:t>
      </w:r>
      <w:bookmarkEnd w:id="185"/>
      <w:r>
        <w:rPr>
          <w:rFonts w:hint="eastAsia" w:ascii="仿宋_GB2312" w:hAnsi="仿宋_GB2312" w:eastAsia="仿宋_GB2312" w:cstheme="majorBidi"/>
          <w:sz w:val="32"/>
          <w:szCs w:val="32"/>
        </w:rPr>
        <w:t>开展教育大数据分析，有效支持管理决策、教育治理</w:t>
      </w:r>
      <w:bookmarkStart w:id="186" w:name="_Hlk51596572"/>
      <w:r>
        <w:rPr>
          <w:rFonts w:hint="eastAsia" w:ascii="仿宋_GB2312" w:hAnsi="仿宋_GB2312" w:eastAsia="仿宋_GB2312" w:cstheme="majorBidi"/>
          <w:sz w:val="32"/>
          <w:szCs w:val="32"/>
        </w:rPr>
        <w:t>以及精准个性教学</w:t>
      </w:r>
      <w:bookmarkEnd w:id="186"/>
      <w:r>
        <w:rPr>
          <w:rFonts w:hint="eastAsia" w:ascii="仿宋_GB2312" w:hAnsi="仿宋_GB2312" w:eastAsia="仿宋_GB2312" w:cstheme="majorBidi"/>
          <w:sz w:val="32"/>
          <w:szCs w:val="32"/>
        </w:rPr>
        <w:t>，促进教育管理业务重组和流程优化。深化教育信息化标杆建设，提升基于AI、物联网的各类信息化装备水平，探索推进人工智能环境下的教师人技协作支撑体系建设和课堂教学变革，全面促进信息技术与教育教学融合创新发展，并逐步将建设经验和成果在全区共享、辐射，提升崇明区学校信息化应用整体水平。推进区教育综合平台升级改造，进一步满足教师教学、教育科研、学生德育等各类教育业务管理需求。统筹推进教育系统安全态势感知与智能技防，基于物联网与人工智能技术智能主动发现各类问题并实现快速决策、及时处理。</w:t>
      </w:r>
    </w:p>
    <w:p>
      <w:pPr>
        <w:pStyle w:val="4"/>
        <w:numPr>
          <w:ilvl w:val="1"/>
          <w:numId w:val="5"/>
        </w:numPr>
        <w:spacing w:line="160" w:lineRule="atLeast"/>
        <w:rPr>
          <w:rFonts w:ascii="仿宋_GB2312" w:hAnsi="仿宋_GB2312" w:eastAsia="仿宋_GB2312"/>
          <w:sz w:val="32"/>
          <w:szCs w:val="32"/>
        </w:rPr>
      </w:pPr>
      <w:bookmarkStart w:id="187" w:name="_Toc47451124"/>
      <w:bookmarkStart w:id="188" w:name="_Toc47451015"/>
      <w:bookmarkStart w:id="189" w:name="_Hlk47962668"/>
      <w:r>
        <w:rPr>
          <w:rFonts w:hint="eastAsia" w:ascii="仿宋_GB2312" w:hAnsi="仿宋_GB2312" w:eastAsia="仿宋_GB2312"/>
          <w:sz w:val="32"/>
          <w:szCs w:val="32"/>
        </w:rPr>
        <w:t>激活文体旅全方位服务</w:t>
      </w:r>
      <w:bookmarkEnd w:id="187"/>
      <w:bookmarkEnd w:id="188"/>
    </w:p>
    <w:bookmarkEnd w:id="189"/>
    <w:p>
      <w:pPr>
        <w:spacing w:line="360" w:lineRule="auto"/>
        <w:ind w:firstLine="640" w:firstLineChars="200"/>
        <w:rPr>
          <w:rFonts w:ascii="仿宋_GB2312" w:hAnsi="仿宋_GB2312" w:eastAsia="仿宋_GB2312" w:cstheme="majorBidi"/>
          <w:sz w:val="32"/>
          <w:szCs w:val="32"/>
        </w:rPr>
      </w:pPr>
      <w:r>
        <w:rPr>
          <w:rFonts w:hint="eastAsia" w:ascii="仿宋_GB2312" w:hAnsi="仿宋_GB2312" w:eastAsia="仿宋_GB2312" w:cstheme="majorBidi"/>
          <w:sz w:val="32"/>
          <w:szCs w:val="32"/>
        </w:rPr>
        <w:t>加强“文化+旅游+体育”融合创新，全力打造一个既有历史底蕴、又有时尚色彩，特色鲜明、功能完善的崇明特色生态文化，以数据采集分析、移动端体验、智慧场景应用为抓手，积极延伸智慧旅游服务链，以内容开发、运营推广为突破点，借助市场化力量，打造集“崇明旅游”、“住崇明”、“畅游崇明”、“运动崇明”等新媒体于一体的全流程、多终端联合发展的“一站式”文体旅服务体系。加快推进实施旅游与文化资源数字化、一体化，利用VR/AR等技术推动岛内各类A级景点、历史建筑、开心农场、精品民宿、非遗文化等场景资源创新开发，使得内容生态与应用场景更加丰富，发展新一代沉浸式体验型文化和旅游消费内容。依托5G信息技术，选取试点建设综合性体育场馆智能化系统，构建群众更方便，治理智能化的体育公共服务体系。推进全区体育场所、健身设施数字化管理系统建设，集成健身设施分布、科学健身知识、社会体育指导员情况、收费详情等内容，实现健身设施查询预订、社会体育指导员咨询、体育培训报名、付费等功能，提高全民健身公共服务智能化、信息化、数字化水平，全面提升崇明文体旅公共服务能级。</w:t>
      </w:r>
    </w:p>
    <w:p>
      <w:pPr>
        <w:pStyle w:val="4"/>
        <w:numPr>
          <w:ilvl w:val="1"/>
          <w:numId w:val="5"/>
        </w:numPr>
        <w:spacing w:line="160" w:lineRule="atLeast"/>
        <w:rPr>
          <w:rFonts w:ascii="仿宋_GB2312" w:hAnsi="仿宋_GB2312" w:eastAsia="仿宋_GB2312"/>
          <w:sz w:val="32"/>
          <w:szCs w:val="32"/>
        </w:rPr>
      </w:pPr>
      <w:bookmarkStart w:id="190" w:name="_Hlk47962676"/>
      <w:r>
        <w:rPr>
          <w:rFonts w:hint="eastAsia" w:ascii="仿宋_GB2312" w:hAnsi="仿宋_GB2312" w:eastAsia="仿宋_GB2312"/>
          <w:sz w:val="32"/>
          <w:szCs w:val="32"/>
        </w:rPr>
        <w:t>打造全生态型养老服务</w:t>
      </w:r>
      <w:bookmarkStart w:id="191" w:name="_Toc38801142"/>
      <w:bookmarkStart w:id="192" w:name="_Toc38977999"/>
    </w:p>
    <w:bookmarkEnd w:id="190"/>
    <w:p>
      <w:pPr>
        <w:spacing w:line="160" w:lineRule="atLeast"/>
        <w:ind w:firstLine="640" w:firstLineChars="200"/>
        <w:rPr>
          <w:rFonts w:ascii="仿宋_GB2312" w:hAnsi="仿宋_GB2312" w:eastAsia="仿宋_GB2312" w:cstheme="majorBidi"/>
          <w:sz w:val="32"/>
          <w:szCs w:val="32"/>
        </w:rPr>
      </w:pPr>
      <w:r>
        <w:rPr>
          <w:rFonts w:hint="eastAsia" w:ascii="仿宋_GB2312" w:hAnsi="仿宋_GB2312" w:eastAsia="仿宋_GB2312" w:cstheme="majorBidi"/>
          <w:sz w:val="32"/>
          <w:szCs w:val="32"/>
        </w:rPr>
        <w:t>以“崇明区养老服务平台”为枢纽，完善老年人口数据资源体系，深化养老地图内涵，持续统筹与不断丰富崇明全区内的养老服务资源；以“线上+线下”精准分析、主动服务模式为主，借助崇明本地生态优势基础，探索构建全方位覆盖、全过程监管、全天候响应的“互联网+”生态养老体系。高度关注崇明人口快速老龄化趋势，探索解决老年人面临的“数字鸿沟”问题，坚持传统服务方式与智能化服务并行，加强技术创新，提供智能化适老产品和服务，多渠道、多领域优化城乡适老产品和服务供给，让老年人能用、会用、敢用、想用。针对家庭、社区、机构等不同养老服务应用环境，鼓励应用健康管理类可穿戴设备、便携式健康监测设备、自助式健康检测设备、家庭服务机器人等，更好支撑健康养老数据的实时采集与智能分析，创新与培育慢性病监测评估管理、个性化健康管理、互联网健康咨询等健康养老服务新业态，更好满足家庭和个人多层次、多样化的健康养老服务需求。建立健全长期护理保险智能监管系统，利用信息化手段，加强对第三方机构的监管，不断完善服务人员培养体系，优化评估标准，保障评估操作规范有序，提高长护险的服务质量，更加贴近老百姓的需求，让失能老人及其家属对长护险服务更有获得感。</w:t>
      </w:r>
    </w:p>
    <w:p>
      <w:pPr>
        <w:pStyle w:val="3"/>
        <w:spacing w:line="160" w:lineRule="atLeast"/>
        <w:rPr>
          <w:rFonts w:ascii="仿宋_GB2312" w:hAnsi="黑体" w:eastAsia="仿宋_GB2312"/>
          <w:bCs w:val="0"/>
        </w:rPr>
      </w:pPr>
      <w:bookmarkStart w:id="193" w:name="_Toc47451126"/>
      <w:bookmarkStart w:id="194" w:name="_Toc47450123"/>
      <w:bookmarkStart w:id="195" w:name="_Toc47451017"/>
      <w:bookmarkStart w:id="196" w:name="_Toc47450704"/>
      <w:bookmarkStart w:id="197" w:name="_Toc58250526"/>
      <w:bookmarkStart w:id="198" w:name="_Toc17733"/>
      <w:r>
        <w:rPr>
          <w:rFonts w:hint="eastAsia" w:ascii="仿宋_GB2312" w:hAnsi="黑体" w:eastAsia="仿宋_GB2312"/>
          <w:bCs w:val="0"/>
        </w:rPr>
        <w:t>（三）激发“生态+动力”，促进绿色产业高端发展</w:t>
      </w:r>
      <w:bookmarkEnd w:id="191"/>
      <w:bookmarkEnd w:id="192"/>
      <w:bookmarkEnd w:id="193"/>
      <w:bookmarkEnd w:id="194"/>
      <w:bookmarkEnd w:id="195"/>
      <w:bookmarkEnd w:id="196"/>
      <w:bookmarkEnd w:id="197"/>
      <w:bookmarkEnd w:id="198"/>
    </w:p>
    <w:p>
      <w:pPr>
        <w:pStyle w:val="4"/>
        <w:numPr>
          <w:ilvl w:val="1"/>
          <w:numId w:val="6"/>
        </w:numPr>
        <w:spacing w:line="160" w:lineRule="atLeast"/>
      </w:pPr>
      <w:bookmarkStart w:id="199" w:name="_Toc47451127"/>
      <w:bookmarkStart w:id="200" w:name="_Toc47451018"/>
      <w:bookmarkStart w:id="201" w:name="_Hlk47962748"/>
      <w:r>
        <w:rPr>
          <w:rFonts w:hint="eastAsia" w:ascii="仿宋_GB2312" w:hAnsi="仿宋_GB2312" w:eastAsia="仿宋_GB2312"/>
          <w:sz w:val="32"/>
          <w:szCs w:val="32"/>
        </w:rPr>
        <w:t>深挖绿色循环农业</w:t>
      </w:r>
      <w:bookmarkEnd w:id="199"/>
      <w:bookmarkEnd w:id="200"/>
      <w:r>
        <w:rPr>
          <w:rFonts w:hint="eastAsia" w:ascii="仿宋_GB2312" w:hAnsi="仿宋_GB2312" w:eastAsia="仿宋_GB2312"/>
          <w:sz w:val="32"/>
          <w:szCs w:val="32"/>
        </w:rPr>
        <w:t>潜力</w:t>
      </w:r>
    </w:p>
    <w:bookmarkEnd w:id="201"/>
    <w:p>
      <w:pPr>
        <w:spacing w:line="160" w:lineRule="atLeast"/>
        <w:ind w:firstLine="640" w:firstLineChars="200"/>
        <w:rPr>
          <w:rFonts w:ascii="仿宋_GB2312" w:hAnsi="仿宋_GB2312" w:eastAsia="仿宋_GB2312"/>
          <w:b/>
          <w:bCs/>
          <w:sz w:val="32"/>
          <w:szCs w:val="32"/>
        </w:rPr>
      </w:pPr>
      <w:r>
        <w:rPr>
          <w:rFonts w:hint="eastAsia" w:ascii="仿宋_GB2312" w:hAnsi="仿宋_GB2312" w:eastAsia="仿宋_GB2312"/>
          <w:sz w:val="32"/>
          <w:szCs w:val="32"/>
        </w:rPr>
        <w:t>深化崇明区智慧农业平台，</w:t>
      </w:r>
      <w:r>
        <w:rPr>
          <w:rFonts w:hint="eastAsia" w:ascii="仿宋_GB2312" w:hAnsi="仿宋_GB2312" w:eastAsia="仿宋_GB2312" w:cs="仿宋_GB2312"/>
          <w:sz w:val="32"/>
          <w:szCs w:val="32"/>
        </w:rPr>
        <w:t>加快农业物联感知建设，提升农业数据采集效率，推动智能算法应用</w:t>
      </w:r>
      <w:r>
        <w:rPr>
          <w:rFonts w:hint="eastAsia" w:ascii="仿宋_GB2312" w:hAnsi="仿宋_GB2312" w:eastAsia="仿宋_GB2312"/>
          <w:sz w:val="32"/>
          <w:szCs w:val="32"/>
        </w:rPr>
        <w:t>。完善崇明农产品产销智能分析系统，</w:t>
      </w:r>
      <w:r>
        <w:rPr>
          <w:rFonts w:hint="eastAsia" w:ascii="仿宋_GB2312" w:hAnsi="仿宋_GB2312" w:eastAsia="仿宋_GB2312" w:cs="仿宋_GB2312"/>
          <w:sz w:val="32"/>
          <w:szCs w:val="32"/>
        </w:rPr>
        <w:t>在崇明农产品销售中注入科技元素，整合规模化农业基地，加强重点基地的产品溯源数据，形成完善统一的区域公共品牌推广体系</w:t>
      </w:r>
      <w:r>
        <w:rPr>
          <w:rFonts w:hint="eastAsia" w:ascii="仿宋_GB2312" w:hAnsi="仿宋_GB2312" w:eastAsia="仿宋_GB2312"/>
          <w:sz w:val="32"/>
          <w:szCs w:val="32"/>
        </w:rPr>
        <w:t>。聚焦创建区域公共品牌，以“两无化”崇明大米为试点，建立崇明绿色农业生产全产业链质量监管体系，并逐步实现成果示范推广。建设高标准农业生态应用展示系统，</w:t>
      </w:r>
      <w:r>
        <w:rPr>
          <w:rFonts w:hint="eastAsia" w:ascii="仿宋_GB2312" w:hAnsi="仿宋_GB2312" w:eastAsia="仿宋_GB2312" w:cs="仿宋_GB2312"/>
          <w:sz w:val="32"/>
          <w:szCs w:val="32"/>
        </w:rPr>
        <w:t>以稻米智能管控为基础开展试点，加强蔬菜等基地的智能建设，推进投入品库房、大棚施用、收获、加工及包装的自动管控</w:t>
      </w:r>
      <w:r>
        <w:rPr>
          <w:rFonts w:hint="eastAsia" w:ascii="仿宋_GB2312" w:hAnsi="仿宋_GB2312" w:eastAsia="仿宋_GB2312"/>
          <w:sz w:val="32"/>
          <w:szCs w:val="32"/>
        </w:rPr>
        <w:t>。推动农业生产智能化自动化，针对农业从业人员老龄化程度较高，农产品未进行分级分类的情况，鼓励在农业生产环节增加智能化设施设备，帮助农业主体提高生产效率与种养水平。强化农业与新经济融合，建立“1+X”崇明农业新经济在线服务平台</w:t>
      </w:r>
      <w:r>
        <w:rPr>
          <w:rStyle w:val="14"/>
          <w:rFonts w:ascii="仿宋_GB2312" w:hAnsi="仿宋_GB2312" w:eastAsia="仿宋_GB2312"/>
          <w:sz w:val="32"/>
          <w:szCs w:val="32"/>
        </w:rPr>
        <w:footnoteReference w:id="7"/>
      </w:r>
      <w:r>
        <w:rPr>
          <w:rFonts w:hint="eastAsia" w:ascii="仿宋_GB2312" w:hAnsi="仿宋_GB2312" w:eastAsia="仿宋_GB2312"/>
          <w:sz w:val="32"/>
          <w:szCs w:val="32"/>
        </w:rPr>
        <w:t>，推出线上超市、智慧菜场，鼓励各涉农主体开发直播电商、社交电商、社群电商、小程序电商等智能化营销新业态，积极培育本土数字农业企业。</w:t>
      </w:r>
    </w:p>
    <w:p>
      <w:pPr>
        <w:pStyle w:val="4"/>
        <w:numPr>
          <w:ilvl w:val="1"/>
          <w:numId w:val="6"/>
        </w:numPr>
        <w:spacing w:line="160" w:lineRule="atLeast"/>
        <w:rPr>
          <w:rFonts w:ascii="仿宋_GB2312" w:hAnsi="仿宋_GB2312" w:eastAsia="仿宋_GB2312"/>
          <w:sz w:val="32"/>
          <w:szCs w:val="32"/>
        </w:rPr>
      </w:pPr>
      <w:bookmarkStart w:id="202" w:name="_Toc47451019"/>
      <w:bookmarkStart w:id="203" w:name="_Toc47451128"/>
      <w:r>
        <w:rPr>
          <w:rFonts w:hint="eastAsia" w:ascii="仿宋_GB2312" w:hAnsi="仿宋_GB2312" w:eastAsia="仿宋_GB2312"/>
          <w:sz w:val="32"/>
          <w:szCs w:val="32"/>
        </w:rPr>
        <w:t>联动全域数字旅游</w:t>
      </w:r>
      <w:bookmarkEnd w:id="202"/>
      <w:bookmarkEnd w:id="203"/>
      <w:r>
        <w:rPr>
          <w:rFonts w:hint="eastAsia" w:ascii="仿宋_GB2312" w:hAnsi="仿宋_GB2312" w:eastAsia="仿宋_GB2312"/>
          <w:sz w:val="32"/>
          <w:szCs w:val="32"/>
        </w:rPr>
        <w:t>资源</w:t>
      </w:r>
    </w:p>
    <w:p>
      <w:pPr>
        <w:spacing w:line="160" w:lineRule="atLeast"/>
        <w:ind w:firstLine="640" w:firstLineChars="200"/>
        <w:rPr>
          <w:rFonts w:ascii="仿宋_GB2312" w:hAnsi="仿宋_GB2312" w:eastAsia="仿宋_GB2312"/>
          <w:sz w:val="32"/>
          <w:szCs w:val="32"/>
        </w:rPr>
      </w:pPr>
      <w:bookmarkStart w:id="204" w:name="_Toc47451020"/>
      <w:bookmarkStart w:id="205" w:name="_Toc47451129"/>
      <w:r>
        <w:rPr>
          <w:rFonts w:hint="eastAsia" w:ascii="仿宋_GB2312" w:hAnsi="仿宋_GB2312" w:eastAsia="仿宋_GB2312"/>
          <w:sz w:val="32"/>
          <w:szCs w:val="32"/>
        </w:rPr>
        <w:t>围绕东滩—陈家镇旅游集聚区、东平—北湖旅游集聚区、西沙—明珠湖、横沙长兴渔港旅游休闲集聚区三大旅游重点发展区域，强化全域智慧旅游监管服务体系建设，实时掌握客流、车流、天气环保等信息，结合GPS、北斗等技术实现远程视频实时监控、旅游安全预警、游客智能疏导、旅游紧急救援、旅游指挥调度等功能，提高旅游行业监管与全区统一应急平台调度能力。重点培育东滩陈家镇旅游集聚区智慧科创、科普研学等产业，按需推进西沙·明珠湖等重点景区智能化配套建设，关注</w:t>
      </w:r>
      <w:r>
        <w:rPr>
          <w:rFonts w:ascii="仿宋_GB2312" w:hAnsi="仿宋_GB2312" w:eastAsia="仿宋_GB2312"/>
          <w:sz w:val="32"/>
          <w:szCs w:val="32"/>
        </w:rPr>
        <w:t>“</w:t>
      </w:r>
      <w:r>
        <w:rPr>
          <w:rFonts w:hint="eastAsia" w:ascii="仿宋_GB2312" w:hAnsi="仿宋_GB2312" w:eastAsia="仿宋_GB2312"/>
          <w:sz w:val="32"/>
          <w:szCs w:val="32"/>
        </w:rPr>
        <w:t>体旅融合”“农旅结合”发展，全力开发本地优质新资源，深挖崇明多旅融合发展潜力，构建“全域文化旅游一张图”，将与崇明旅游相关联的多领域多形式的资源要素进行数字化处理，形成崇明全域旅行数字资产，促进游客画像、精品文旅推荐、文旅行业监管等方面的创新应用场景，实现智慧化旅游服务预测和拓展体系，提升全域旅游产品与服务的精准供给能力。最终打造形成一批以“旅游+生态”、“旅游+文化”、“旅游+体育”等为特色的崇明精品旅游服务产品与品牌。</w:t>
      </w:r>
    </w:p>
    <w:p>
      <w:pPr>
        <w:pStyle w:val="4"/>
        <w:numPr>
          <w:ilvl w:val="1"/>
          <w:numId w:val="4"/>
        </w:numPr>
        <w:spacing w:line="160" w:lineRule="atLeast"/>
        <w:rPr>
          <w:rFonts w:ascii="仿宋_GB2312" w:hAnsi="仿宋_GB2312" w:eastAsia="仿宋_GB2312"/>
          <w:sz w:val="32"/>
          <w:szCs w:val="32"/>
        </w:rPr>
      </w:pPr>
      <w:r>
        <w:rPr>
          <w:rFonts w:hint="eastAsia" w:ascii="仿宋_GB2312" w:hAnsi="仿宋_GB2312" w:eastAsia="仿宋_GB2312"/>
          <w:sz w:val="32"/>
          <w:szCs w:val="32"/>
        </w:rPr>
        <w:t>探索海洋智能制造</w:t>
      </w:r>
      <w:bookmarkEnd w:id="204"/>
      <w:bookmarkEnd w:id="205"/>
      <w:r>
        <w:rPr>
          <w:rFonts w:hint="eastAsia" w:ascii="仿宋_GB2312" w:hAnsi="仿宋_GB2312" w:eastAsia="仿宋_GB2312"/>
          <w:sz w:val="32"/>
          <w:szCs w:val="32"/>
        </w:rPr>
        <w:t>业态</w:t>
      </w:r>
    </w:p>
    <w:p>
      <w:pPr>
        <w:spacing w:line="160" w:lineRule="atLeast"/>
        <w:ind w:firstLine="640" w:firstLineChars="200"/>
        <w:rPr>
          <w:rFonts w:ascii="仿宋_GB2312" w:eastAsia="仿宋_GB2312"/>
          <w:sz w:val="32"/>
          <w:szCs w:val="32"/>
        </w:rPr>
      </w:pPr>
      <w:r>
        <w:rPr>
          <w:rFonts w:hint="eastAsia" w:ascii="仿宋_GB2312" w:hAnsi="仿宋_GB2312" w:eastAsia="仿宋_GB2312"/>
          <w:sz w:val="32"/>
          <w:szCs w:val="32"/>
        </w:rPr>
        <w:t>促进以海洋装备为主导的制造业高质量发展，推进长兴海洋经济发展示范。将长兴地区打造成为上海制造品牌的重要承载地、工业互联网集群及海洋科技创新的重要引领地、产城融合发展的重要增长极，努力建设成为上海更具国际竞争力和市场影响力的特色功能区。加快推动海洋装备产业数字化、绿色化、智能化升级，抢占海洋经济价值链高端，构建新形势下参与国际合作竞争新优势。持续推动海洋装备、生态环保、人工智能、工业互联、科技研发和新型材料等行业深度融合发展，大力发展海洋经济、创新经济、服务经济。</w:t>
      </w:r>
      <w:r>
        <w:rPr>
          <w:rFonts w:hint="eastAsia" w:ascii="仿宋_GB2312" w:eastAsia="仿宋_GB2312"/>
          <w:sz w:val="32"/>
          <w:szCs w:val="32"/>
        </w:rPr>
        <w:t>加快集聚高端科技创新资源，发展壮大一批高新技术企业、行业龙头企业、世界领军企业，积极推进中船二期建设，规划建设海洋经济创新集聚区、海洋高新科技园区，全力打造千亿级海洋装备产业集群。</w:t>
      </w:r>
      <w:bookmarkStart w:id="206" w:name="_Toc47451021"/>
      <w:bookmarkStart w:id="207" w:name="_Toc47451130"/>
      <w:bookmarkStart w:id="208" w:name="_Hlk47962938"/>
    </w:p>
    <w:p>
      <w:pPr>
        <w:pStyle w:val="4"/>
        <w:numPr>
          <w:ilvl w:val="1"/>
          <w:numId w:val="4"/>
        </w:numPr>
        <w:spacing w:line="160" w:lineRule="atLeast"/>
        <w:rPr>
          <w:rFonts w:ascii="仿宋_GB2312" w:hAnsi="仿宋_GB2312" w:eastAsia="仿宋_GB2312"/>
          <w:sz w:val="32"/>
          <w:szCs w:val="32"/>
        </w:rPr>
      </w:pPr>
      <w:r>
        <w:rPr>
          <w:rFonts w:hint="eastAsia" w:ascii="仿宋_GB2312" w:hAnsi="仿宋_GB2312" w:eastAsia="仿宋_GB2312"/>
          <w:sz w:val="32"/>
          <w:szCs w:val="32"/>
        </w:rPr>
        <w:t>构筑产业发展孵化平台</w:t>
      </w:r>
      <w:bookmarkEnd w:id="206"/>
      <w:bookmarkEnd w:id="207"/>
    </w:p>
    <w:bookmarkEnd w:id="208"/>
    <w:p>
      <w:pPr>
        <w:spacing w:after="240" w:line="160" w:lineRule="atLeas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围绕数字经济，</w:t>
      </w:r>
      <w:r>
        <w:rPr>
          <w:rFonts w:hint="eastAsia" w:ascii="仿宋_GB2312" w:hAnsi="仿宋_GB2312" w:eastAsia="仿宋_GB2312"/>
          <w:sz w:val="32"/>
          <w:szCs w:val="32"/>
        </w:rPr>
        <w:t>鼓励发展电商直播等在线新经济，推动电商直播在传统和新兴产业广泛深入应用，在智慧岛产业园、北湖农业园等区域打造一批特色鲜明、示范性强的网红直播平台，培育一批优秀主播与直播团队。充分发挥网红主播名人效应，谋划打造崇明世界级生态岛电商直播园，创建短视频创意拍摄园，搭建电商直播演绎中心，提升数字商务发展能级，围绕特色农产品、民宿体验、文化创意等领域，推动线上线下深度融合，释放消费市场潜力。</w:t>
      </w:r>
      <w:r>
        <w:rPr>
          <w:rFonts w:hint="eastAsia" w:ascii="仿宋_GB2312" w:hAnsi="仿宋_GB2312" w:eastAsia="仿宋_GB2312"/>
          <w:b/>
          <w:bCs/>
          <w:sz w:val="32"/>
          <w:szCs w:val="32"/>
        </w:rPr>
        <w:t>围绕招商引资，</w:t>
      </w:r>
      <w:r>
        <w:rPr>
          <w:rFonts w:hint="eastAsia" w:ascii="仿宋_GB2312" w:hAnsi="仿宋_GB2312" w:eastAsia="仿宋_GB2312"/>
          <w:sz w:val="32"/>
          <w:szCs w:val="32"/>
        </w:rPr>
        <w:t>聚焦崇明生态旅游、现代绿色农业、船舶与海洋工程装备等特色产业，做强区智慧招商管理平台，切实延伸到乡镇园区，形成吸附汇聚各类资源服务的“线上招商生态系统”，推动形成集主动服务、动态跟踪、考核管理于一体的智慧招商管理体系。</w:t>
      </w:r>
      <w:r>
        <w:rPr>
          <w:rFonts w:hint="eastAsia" w:ascii="仿宋_GB2312" w:hAnsi="仿宋_GB2312" w:eastAsia="仿宋_GB2312"/>
          <w:b/>
          <w:bCs/>
          <w:sz w:val="32"/>
          <w:szCs w:val="32"/>
        </w:rPr>
        <w:t>围绕产业管理，</w:t>
      </w:r>
      <w:r>
        <w:rPr>
          <w:rFonts w:hint="eastAsia" w:ascii="仿宋_GB2312" w:hAnsi="仿宋_GB2312" w:eastAsia="仿宋_GB2312"/>
          <w:sz w:val="32"/>
          <w:szCs w:val="32"/>
        </w:rPr>
        <w:t>打造可视化呈现区域产业现状及发展布局、产业配套及投资推介、政策扶持等内容的产业地图，并利用区经济社会发展综合数据平台，建设监测分析产业经济、重点企业运行态势的产业经济分析决策平台，为全岛产业强链补链、产业结构持续优化等内容提供科学决策支持，全面促进崇明“绿色+特色”经济的发展。</w:t>
      </w:r>
      <w:bookmarkStart w:id="209" w:name="_Hlk51596742"/>
    </w:p>
    <w:bookmarkEnd w:id="0"/>
    <w:bookmarkEnd w:id="104"/>
    <w:bookmarkEnd w:id="105"/>
    <w:bookmarkEnd w:id="106"/>
    <w:bookmarkEnd w:id="107"/>
    <w:bookmarkEnd w:id="108"/>
    <w:bookmarkEnd w:id="109"/>
    <w:bookmarkEnd w:id="209"/>
    <w:p>
      <w:pPr>
        <w:pStyle w:val="2"/>
        <w:spacing w:after="0" w:line="160" w:lineRule="atLeast"/>
        <w:rPr>
          <w:rFonts w:ascii="仿宋_GB2312" w:hAnsi="黑体" w:eastAsia="仿宋_GB2312"/>
          <w:sz w:val="32"/>
          <w:szCs w:val="32"/>
        </w:rPr>
      </w:pPr>
      <w:bookmarkStart w:id="210" w:name="_Toc18773"/>
      <w:bookmarkStart w:id="211" w:name="_Toc58250527"/>
      <w:bookmarkStart w:id="212" w:name="_Toc47450695"/>
      <w:bookmarkStart w:id="213" w:name="_Toc38801133"/>
      <w:bookmarkStart w:id="214" w:name="_Toc47451096"/>
      <w:bookmarkStart w:id="215" w:name="_Toc38977990"/>
      <w:bookmarkStart w:id="216" w:name="_Toc47450987"/>
      <w:bookmarkStart w:id="217" w:name="_Toc47450114"/>
      <w:r>
        <w:rPr>
          <w:rFonts w:hint="eastAsia" w:ascii="仿宋_GB2312" w:hAnsi="黑体" w:eastAsia="仿宋_GB2312"/>
          <w:sz w:val="32"/>
          <w:szCs w:val="32"/>
        </w:rPr>
        <w:t>五、全力推进两网协同发展，支撑城市高效运行</w:t>
      </w:r>
      <w:bookmarkEnd w:id="210"/>
      <w:bookmarkEnd w:id="211"/>
    </w:p>
    <w:p>
      <w:pPr>
        <w:spacing w:line="160" w:lineRule="atLeast"/>
        <w:ind w:firstLine="640" w:firstLineChars="200"/>
        <w:rPr>
          <w:rFonts w:ascii="仿宋_GB2312" w:eastAsia="仿宋_GB2312"/>
          <w:sz w:val="32"/>
          <w:szCs w:val="32"/>
        </w:rPr>
      </w:pPr>
      <w:r>
        <w:rPr>
          <w:rFonts w:hint="eastAsia" w:ascii="仿宋_GB2312" w:eastAsia="仿宋_GB2312"/>
          <w:sz w:val="32"/>
          <w:szCs w:val="32"/>
        </w:rPr>
        <w:t>政务服务“一网通办”、城市运行“一网统管”是城市治理的“牛鼻子”工作，“十四五”期间崇明将深入贯彻实施《长江三角洲区域一体化发展规划纲要》，加快推进“两张网”建设，推动部门政务信息系统整合集成，通过“一网通办”带动政务服务改进、推动营商环境优化，通过“一网统管”促进城市管理精细化、保障城市安全有序运行，以“两张网”协同建设牵引和推动城乡治理现代化，全面提高崇明城乡治理的科学化、精细化、智能化水平，促进长三角政务服务联动取得明显成效，推动世界级生态岛建设事业行稳致远。</w:t>
      </w:r>
    </w:p>
    <w:p>
      <w:pPr>
        <w:pStyle w:val="3"/>
        <w:spacing w:line="160" w:lineRule="atLeast"/>
        <w:rPr>
          <w:rFonts w:ascii="仿宋_GB2312" w:eastAsia="仿宋_GB2312"/>
          <w:bCs w:val="0"/>
        </w:rPr>
      </w:pPr>
      <w:bookmarkStart w:id="218" w:name="_Toc31289"/>
      <w:bookmarkStart w:id="219" w:name="_Toc58250528"/>
      <w:r>
        <w:rPr>
          <w:rFonts w:hint="eastAsia" w:ascii="仿宋_GB2312" w:hAnsi="黑体" w:eastAsia="仿宋_GB2312"/>
          <w:bCs w:val="0"/>
        </w:rPr>
        <w:t>（一）着力推进城市运行“一网统管”</w:t>
      </w:r>
      <w:bookmarkEnd w:id="218"/>
      <w:bookmarkEnd w:id="219"/>
    </w:p>
    <w:p>
      <w:pPr>
        <w:pStyle w:val="4"/>
        <w:numPr>
          <w:ilvl w:val="1"/>
          <w:numId w:val="7"/>
        </w:numPr>
        <w:spacing w:line="160" w:lineRule="atLeast"/>
        <w:rPr>
          <w:rFonts w:ascii="仿宋_GB2312" w:hAnsi="仿宋_GB2312" w:eastAsia="仿宋_GB2312"/>
          <w:sz w:val="32"/>
          <w:szCs w:val="32"/>
        </w:rPr>
      </w:pPr>
      <w:r>
        <w:rPr>
          <w:rFonts w:hint="eastAsia" w:ascii="仿宋_GB2312" w:hAnsi="仿宋_GB2312" w:eastAsia="仿宋_GB2312"/>
          <w:sz w:val="32"/>
          <w:szCs w:val="32"/>
        </w:rPr>
        <w:t>强化城市运行管理能力</w:t>
      </w:r>
    </w:p>
    <w:p>
      <w:pPr>
        <w:spacing w:line="160" w:lineRule="atLeast"/>
        <w:ind w:firstLine="640" w:firstLineChars="200"/>
        <w:rPr>
          <w:rFonts w:ascii="仿宋_GB2312" w:eastAsia="仿宋_GB2312"/>
          <w:sz w:val="32"/>
          <w:szCs w:val="32"/>
        </w:rPr>
      </w:pPr>
      <w:r>
        <w:rPr>
          <w:rFonts w:hint="eastAsia" w:ascii="仿宋_GB2312" w:eastAsia="仿宋_GB2312"/>
          <w:sz w:val="32"/>
          <w:szCs w:val="32"/>
        </w:rPr>
        <w:t>依托区城运中心，围绕基础保障、生态环境、绿色经济、人居生活等维度，汇聚城市生产、生活和治理数据，细化城 乡运行涉及的核心关键指标和状态指数，构建完善覆盖区、乡镇、村居的城市运行基本体征指标体系，充分发挥数据赋能、系统支撑、信息调度、趋势研判、综合指挥、平急切换等职能，打造集数据、应用、智能算法为一体的</w:t>
      </w:r>
      <w:r>
        <w:rPr>
          <w:rFonts w:hint="eastAsia" w:ascii="Times New Roman" w:eastAsia="仿宋_GB2312" w:cs="仿宋_GB2312"/>
          <w:sz w:val="32"/>
          <w:szCs w:val="32"/>
        </w:rPr>
        <w:t>区城运平台大基座</w:t>
      </w:r>
      <w:r>
        <w:rPr>
          <w:rFonts w:hint="eastAsia" w:ascii="仿宋_GB2312" w:eastAsia="仿宋_GB2312"/>
          <w:sz w:val="32"/>
          <w:szCs w:val="32"/>
        </w:rPr>
        <w:t>。统筹规划云资源、存储资源与算力资源，积极推进“一网统管”关联系统上云，提升“城运云”纳管能力。加快区政务外网与公安感知网等业务专网互联互通，满足对城运系统运行的网络支撑。加强神经元泛感知节点在崇明社会治理、生态治理等多个领域的统筹部署，形成多元物联感知和视频结构化分析场景应用。推进治理要素一张图，接入公安“一标三实”数据和相关业务部门的地理信息数据，形成统一的空间地理综合数据库，加强对城市运行基本体征的监管分析和趋势研判，构建形成“一屏观三岛，一网管全区”的综合展示和智能治理基础，推进城市运行数据整合汇聚和关联分析，实现“观管防”有机统一，支撑城市运行管理应用。</w:t>
      </w:r>
    </w:p>
    <w:p>
      <w:pPr>
        <w:pStyle w:val="4"/>
        <w:spacing w:line="160" w:lineRule="atLeast"/>
        <w:rPr>
          <w:rFonts w:ascii="仿宋_GB2312" w:hAnsi="仿宋_GB2312" w:eastAsia="仿宋_GB2312"/>
          <w:b w:val="0"/>
          <w:sz w:val="32"/>
          <w:szCs w:val="32"/>
        </w:rPr>
      </w:pPr>
      <w:r>
        <w:rPr>
          <w:rFonts w:hint="eastAsia" w:ascii="仿宋_GB2312" w:hAnsi="仿宋_GB2312" w:eastAsia="仿宋_GB2312"/>
          <w:sz w:val="32"/>
          <w:szCs w:val="32"/>
        </w:rPr>
        <w:t>提升高效协同处置水平</w:t>
      </w:r>
    </w:p>
    <w:p>
      <w:pPr>
        <w:spacing w:line="160" w:lineRule="atLeast"/>
        <w:ind w:firstLine="640" w:firstLineChars="200"/>
        <w:rPr>
          <w:rFonts w:ascii="仿宋_GB2312" w:hAnsi="仿宋_GB2312" w:eastAsia="仿宋_GB2312"/>
          <w:sz w:val="32"/>
          <w:szCs w:val="32"/>
        </w:rPr>
      </w:pPr>
      <w:r>
        <w:rPr>
          <w:rFonts w:hint="eastAsia" w:ascii="仿宋_GB2312" w:hAnsi="仿宋_GB2312" w:eastAsia="仿宋_GB2312"/>
          <w:sz w:val="32"/>
          <w:szCs w:val="32"/>
        </w:rPr>
        <w:t>基于城市运行协同管理需求，聚焦“高效处置一件事”，实施“一网统管”全域覆盖、智能派单、分层分级、依责承接、高效处置。日常管理中，围绕事部件派单、协调、处置、监督等管理流程，以政务信息系统整合为基础，融合业务处置流程，联通跨系统数据信息，联接跨区域服务资源，联动跨单位处置能力，通过底层数据汇集和平台系统整合集成，实现横向和纵向条块结合和联勤联动，专项管理中，接受各委办局、乡镇的协同请求，推动“1+3+N”网格化与区城运大基座平台有机融合，实现网格集约管理下的“联勤联动一体化运行模式”，助力城市运行管理时间的快速响应、高效处置。深化“一网统管”移动端（政务微信）全面应用，全面衔接“12345”市民服务热线和网络舆情等信息，通过人工智能、大数据分析技术，加快形成“区级统领带动、引导乡镇发挥自主、联接网格和社区创新自治”的跨区域、跨部门、跨层级的城市治理协同处置体系。</w:t>
      </w:r>
    </w:p>
    <w:p>
      <w:pPr>
        <w:pStyle w:val="4"/>
        <w:spacing w:line="160" w:lineRule="atLeast"/>
        <w:rPr>
          <w:rFonts w:ascii="仿宋_GB2312" w:hAnsi="仿宋_GB2312" w:eastAsia="仿宋_GB2312"/>
          <w:sz w:val="32"/>
          <w:szCs w:val="32"/>
        </w:rPr>
      </w:pPr>
      <w:r>
        <w:rPr>
          <w:rFonts w:hint="eastAsia" w:ascii="仿宋_GB2312" w:hAnsi="仿宋_GB2312" w:eastAsia="仿宋_GB2312"/>
          <w:sz w:val="32"/>
          <w:szCs w:val="32"/>
        </w:rPr>
        <w:t>聚焦重点实战应用场景</w:t>
      </w:r>
    </w:p>
    <w:p>
      <w:pPr>
        <w:spacing w:after="240" w:line="160" w:lineRule="atLeast"/>
        <w:ind w:firstLine="643" w:firstLineChars="200"/>
        <w:rPr>
          <w:rFonts w:ascii="仿宋_GB2312" w:eastAsia="仿宋_GB2312"/>
          <w:sz w:val="32"/>
          <w:szCs w:val="32"/>
        </w:rPr>
      </w:pPr>
      <w:r>
        <w:rPr>
          <w:rFonts w:hint="eastAsia" w:ascii="仿宋_GB2312" w:eastAsia="仿宋_GB2312"/>
          <w:b/>
          <w:sz w:val="32"/>
          <w:szCs w:val="32"/>
        </w:rPr>
        <w:t>聚焦“大治理”领域，</w:t>
      </w:r>
      <w:r>
        <w:rPr>
          <w:rFonts w:hint="eastAsia" w:ascii="仿宋_GB2312" w:eastAsia="仿宋_GB2312"/>
          <w:sz w:val="32"/>
          <w:szCs w:val="32"/>
        </w:rPr>
        <w:t>以公共管理为核心，重点聚焦智慧花博、智慧农业、智慧生态、智慧城管等崇明城市管理痛点与难点，以整合各部门政务信息系统为基础，拓展完善覆盖18个乡镇的生态监控、社区治理、绿色经济等特色化、个性化专题应用场景，强化区域生态资源数字化管控能力和智能化综合管理能力。</w:t>
      </w:r>
      <w:r>
        <w:rPr>
          <w:rFonts w:hint="eastAsia" w:ascii="仿宋_GB2312" w:eastAsia="仿宋_GB2312"/>
          <w:b/>
          <w:sz w:val="32"/>
          <w:szCs w:val="32"/>
        </w:rPr>
        <w:t>聚焦“大应急”领域，</w:t>
      </w:r>
      <w:r>
        <w:rPr>
          <w:rFonts w:hint="eastAsia" w:ascii="仿宋_GB2312" w:eastAsia="仿宋_GB2312"/>
          <w:sz w:val="32"/>
          <w:szCs w:val="32"/>
        </w:rPr>
        <w:t>以公共安全为核心，重点推动安全生产、危化品管控、消防救援、防台防汛、气象安全、公共卫生和重大活动的预警、防范、处置。关注崇明气象灾害、事故灾难、公共卫生等突发应急事件，归集梳理各类应急事件处置预案，围绕组织管理、预警预报、处置流程、配套物资、事后恢复等内容，建设应急预案处置模型，强化应急预案数字化管理和智能化启动执行。</w:t>
      </w:r>
      <w:r>
        <w:rPr>
          <w:rFonts w:hint="eastAsia" w:ascii="仿宋_GB2312" w:eastAsia="仿宋_GB2312"/>
          <w:b/>
          <w:sz w:val="32"/>
          <w:szCs w:val="32"/>
        </w:rPr>
        <w:t>聚焦“大生态”领域，</w:t>
      </w:r>
      <w:r>
        <w:rPr>
          <w:rFonts w:hint="eastAsia" w:ascii="仿宋_GB2312" w:eastAsia="仿宋_GB2312"/>
          <w:sz w:val="32"/>
          <w:szCs w:val="32"/>
        </w:rPr>
        <w:t>以感知神经元末梢为载体，增强对崇明生态岛水、空气、土壤、噪音、扬尘和辐射等的全覆盖、全过程与全天候自动感知监管能力，建立“天空地”一体化全要素生态环境监测示范，推进城市生态环境智能系统、规划自然资源违法行为智能监管系统等应用建设。</w:t>
      </w:r>
      <w:r>
        <w:rPr>
          <w:rFonts w:hint="eastAsia" w:ascii="仿宋_GB2312" w:eastAsia="仿宋_GB2312"/>
          <w:b/>
          <w:sz w:val="32"/>
          <w:szCs w:val="32"/>
        </w:rPr>
        <w:t>聚焦“大民生”领域，</w:t>
      </w:r>
      <w:r>
        <w:rPr>
          <w:rFonts w:hint="eastAsia" w:ascii="仿宋_GB2312" w:eastAsia="仿宋_GB2312"/>
          <w:sz w:val="32"/>
          <w:szCs w:val="32"/>
        </w:rPr>
        <w:t>以民生服务为核心，以实际、聚焦问题为突破点，拓展实战应用。推进“智慧食安”项目以及涵盖食品、农产品等内容的智能化追溯管理体系建设，推动食品安全协同监管应用；推动健康管理类可穿戴设备、自助式健康检测设备、家庭服务机器人等应用，支撑健康养老数据的实时采集与智能分析，满足多层次、多样化的健康养老服务需求。完善长期护理保险智能监管系统，加强对第三方机构的监管，提高长护险的服务质量。</w:t>
      </w:r>
    </w:p>
    <w:p>
      <w:pPr>
        <w:pStyle w:val="4"/>
        <w:spacing w:line="160" w:lineRule="atLeast"/>
        <w:rPr>
          <w:rFonts w:ascii="仿宋_GB2312" w:hAnsi="仿宋_GB2312" w:eastAsia="仿宋_GB2312"/>
          <w:b w:val="0"/>
          <w:sz w:val="32"/>
          <w:szCs w:val="32"/>
        </w:rPr>
      </w:pPr>
      <w:r>
        <w:rPr>
          <w:rFonts w:hint="eastAsia" w:ascii="仿宋_GB2312" w:hAnsi="仿宋_GB2312" w:eastAsia="仿宋_GB2312"/>
          <w:sz w:val="32"/>
          <w:szCs w:val="32"/>
        </w:rPr>
        <w:t>构筑平战联动运行机制</w:t>
      </w:r>
    </w:p>
    <w:p>
      <w:pPr>
        <w:spacing w:line="160" w:lineRule="atLeast"/>
        <w:ind w:firstLine="640" w:firstLineChars="200"/>
        <w:rPr>
          <w:rFonts w:ascii="仿宋_GB2312" w:eastAsia="仿宋_GB2312"/>
          <w:sz w:val="32"/>
          <w:szCs w:val="32"/>
        </w:rPr>
      </w:pPr>
      <w:r>
        <w:rPr>
          <w:rFonts w:hint="eastAsia" w:ascii="仿宋_GB2312" w:eastAsia="仿宋_GB2312"/>
          <w:sz w:val="32"/>
          <w:szCs w:val="32"/>
        </w:rPr>
        <w:t>以体制机制创新与业务流程再造为保障，以信息化技术手段为载体，构筑跨部门、跨职能的“多格合一”综合网格架构，协同12345、公安、综治、市场、应急、生态、城管、农业等多方业务，强化平战联动、业务协同与实战赋能机制，通过整合基层处置力量，加强联勤联动，以日常监管体系与应急指挥体系形成城市运行管理的全覆盖、全过程与全天候。</w:t>
      </w:r>
      <w:r>
        <w:rPr>
          <w:rFonts w:hint="eastAsia" w:ascii="仿宋_GB2312" w:eastAsia="仿宋_GB2312"/>
          <w:b/>
          <w:sz w:val="32"/>
          <w:szCs w:val="32"/>
        </w:rPr>
        <w:t>日常状态下，</w:t>
      </w:r>
      <w:r>
        <w:rPr>
          <w:rFonts w:hint="eastAsia" w:ascii="仿宋_GB2312" w:eastAsia="仿宋_GB2312"/>
          <w:sz w:val="32"/>
          <w:szCs w:val="32"/>
        </w:rPr>
        <w:t>横向以“整合、赋能”为主，按照主题管理模块接入各条线相关的应用场景和业务系统，并为其应用建设提供数据、算力、算法等基础资源；纵向以“指导、支撑”为主，对区、乡镇平台建设提出标准规范，为区级平台开展特色应用等提供能力支撑。</w:t>
      </w:r>
      <w:r>
        <w:rPr>
          <w:rFonts w:hint="eastAsia" w:ascii="仿宋_GB2312" w:eastAsia="仿宋_GB2312"/>
          <w:b/>
          <w:sz w:val="32"/>
          <w:szCs w:val="32"/>
        </w:rPr>
        <w:t>战时状态下，</w:t>
      </w:r>
      <w:r>
        <w:rPr>
          <w:rFonts w:hint="eastAsia" w:ascii="仿宋_GB2312" w:eastAsia="仿宋_GB2312"/>
          <w:sz w:val="32"/>
          <w:szCs w:val="32"/>
        </w:rPr>
        <w:t>以“搭建信息和通信枢纽”为主，按照数字化预案全面接入各部门应急相关系统平台，全维度汇集事件处置、救援等信息，横向与各部门指挥大厅联动，纵向延伸到区、乡镇，实现网状式应战体系。</w:t>
      </w:r>
    </w:p>
    <w:p>
      <w:pPr>
        <w:pStyle w:val="3"/>
        <w:spacing w:line="160" w:lineRule="atLeast"/>
        <w:rPr>
          <w:rFonts w:ascii="仿宋_GB2312" w:hAnsi="黑体" w:eastAsia="仿宋_GB2312"/>
          <w:bCs w:val="0"/>
        </w:rPr>
      </w:pPr>
      <w:bookmarkStart w:id="220" w:name="_Toc58250529"/>
      <w:bookmarkStart w:id="221" w:name="_Toc4096"/>
      <w:r>
        <w:rPr>
          <w:rFonts w:hint="eastAsia" w:ascii="仿宋_GB2312" w:hAnsi="黑体" w:eastAsia="仿宋_GB2312"/>
          <w:bCs w:val="0"/>
        </w:rPr>
        <w:t>（二）全面深化政务服务“一网通办”</w:t>
      </w:r>
      <w:bookmarkEnd w:id="220"/>
      <w:bookmarkEnd w:id="221"/>
    </w:p>
    <w:p>
      <w:pPr>
        <w:pStyle w:val="4"/>
        <w:numPr>
          <w:ilvl w:val="1"/>
          <w:numId w:val="8"/>
        </w:numPr>
        <w:spacing w:line="160" w:lineRule="atLeast"/>
        <w:rPr>
          <w:rFonts w:ascii="仿宋_GB2312" w:hAnsi="仿宋_GB2312" w:eastAsia="仿宋_GB2312"/>
          <w:b w:val="0"/>
          <w:sz w:val="32"/>
          <w:szCs w:val="32"/>
        </w:rPr>
      </w:pPr>
      <w:r>
        <w:rPr>
          <w:rFonts w:hint="eastAsia" w:ascii="仿宋_GB2312" w:hAnsi="仿宋_GB2312" w:eastAsia="仿宋_GB2312"/>
          <w:sz w:val="32"/>
          <w:szCs w:val="32"/>
        </w:rPr>
        <w:t>创新改革政务服务模式</w:t>
      </w:r>
    </w:p>
    <w:p>
      <w:pPr>
        <w:spacing w:line="160" w:lineRule="atLeast"/>
        <w:ind w:firstLine="643" w:firstLineChars="200"/>
        <w:rPr>
          <w:rFonts w:ascii="仿宋_GB2312" w:hAnsi="仿宋_GB2312" w:eastAsia="仿宋_GB2312"/>
          <w:bCs/>
          <w:sz w:val="32"/>
          <w:szCs w:val="32"/>
        </w:rPr>
      </w:pPr>
      <w:r>
        <w:rPr>
          <w:rFonts w:hint="eastAsia" w:ascii="仿宋_GB2312" w:hAnsi="仿宋_GB2312" w:eastAsia="仿宋_GB2312"/>
          <w:b/>
          <w:bCs/>
          <w:sz w:val="32"/>
          <w:szCs w:val="32"/>
        </w:rPr>
        <w:t>推动“一件事”业务流程革命性再造落实落地。</w:t>
      </w:r>
      <w:r>
        <w:rPr>
          <w:rFonts w:hint="eastAsia" w:ascii="仿宋_GB2312" w:hAnsi="仿宋_GB2312" w:eastAsia="仿宋_GB2312"/>
          <w:bCs/>
          <w:sz w:val="32"/>
          <w:szCs w:val="32"/>
        </w:rPr>
        <w:t>聚焦崇明面积大、人口少，群众远程办事需求强烈的现状，以科技创新赋能为杠杆，聚焦企业和公民生命周期，拓展“一件事”所涉及的政务服务事项范围，优化再造办理流程，通过协同审批、容缺办理、告知承诺、信息共享等方式，实现主题内事项一张表单填报、一套材料提交、一个流程办理、一口同步出证，真正做到“一件事一次办”。全力推进政务服务全程网办，不断拓展优化政务服务事项，依托“一网通办”总门户、“随申办市民云”等平台，进一步提升网上办理深度，优化办理流程，新增一批事项实现全程网上办理，实现办事“零跑动”，提升在线办理率和全程网办率。依托社会互联网平台丰富办事指南发布渠道，将办事指南嵌入地图导航，方便企业群众查询，推动办事指南精细化、场景化。</w:t>
      </w:r>
    </w:p>
    <w:p>
      <w:pPr>
        <w:spacing w:line="160" w:lineRule="atLeast"/>
        <w:ind w:firstLine="643" w:firstLineChars="200"/>
        <w:rPr>
          <w:rFonts w:ascii="仿宋_GB2312" w:hAnsi="仿宋_GB2312" w:eastAsia="仿宋_GB2312"/>
          <w:bCs/>
          <w:sz w:val="32"/>
          <w:szCs w:val="32"/>
        </w:rPr>
      </w:pPr>
      <w:r>
        <w:rPr>
          <w:rFonts w:hint="eastAsia" w:ascii="仿宋_GB2312" w:hAnsi="仿宋_GB2312" w:eastAsia="仿宋_GB2312"/>
          <w:b/>
          <w:bCs/>
          <w:sz w:val="32"/>
          <w:szCs w:val="32"/>
        </w:rPr>
        <w:t>持续做优政务服务体验。</w:t>
      </w:r>
      <w:r>
        <w:rPr>
          <w:rFonts w:hint="eastAsia" w:ascii="仿宋_GB2312" w:hAnsi="仿宋_GB2312" w:eastAsia="仿宋_GB2312"/>
          <w:bCs/>
          <w:sz w:val="32"/>
          <w:szCs w:val="32"/>
        </w:rPr>
        <w:t>按照无差别综合窗口和分领域综合窗口两种模式，大力推进政务服务大厅综合窗口改革，按照“应进尽进”的原则，推进入驻行政服务中心的行政审批事项100%进驻综合窗口。依托人工智能、大数据、区块链等新技术，扩大无人干预自动办理“秒批”服务范围，探索全环节、全链条无人工干预智能审核，实现即报即批、即批即得。利用人脸识别技术，探索推行“刷脸”服务，优化验证环节，实现“见面审批”向“不见面审批”的转变。在政务服务中心打造2</w:t>
      </w:r>
      <w:r>
        <w:rPr>
          <w:rFonts w:ascii="仿宋_GB2312" w:hAnsi="仿宋_GB2312" w:eastAsia="仿宋_GB2312"/>
          <w:bCs/>
          <w:sz w:val="32"/>
          <w:szCs w:val="32"/>
        </w:rPr>
        <w:t>4</w:t>
      </w:r>
      <w:r>
        <w:rPr>
          <w:rFonts w:hint="eastAsia" w:ascii="仿宋_GB2312" w:hAnsi="仿宋_GB2312" w:eastAsia="仿宋_GB2312"/>
          <w:bCs/>
          <w:sz w:val="32"/>
          <w:szCs w:val="32"/>
        </w:rPr>
        <w:t>小时不打烊自助服务区，充分利用便民服务网点、金融行业自助服务网点等，推进自助服务终端延伸进社区村居，实现市民就近办理和身边办理。</w:t>
      </w:r>
    </w:p>
    <w:p>
      <w:pPr>
        <w:pStyle w:val="4"/>
        <w:spacing w:line="160" w:lineRule="atLeast"/>
        <w:rPr>
          <w:rFonts w:ascii="仿宋_GB2312" w:hAnsi="仿宋_GB2312" w:eastAsia="仿宋_GB2312"/>
          <w:sz w:val="32"/>
          <w:szCs w:val="32"/>
        </w:rPr>
      </w:pPr>
      <w:r>
        <w:rPr>
          <w:rFonts w:hint="eastAsia" w:ascii="仿宋_GB2312" w:hAnsi="仿宋_GB2312" w:eastAsia="仿宋_GB2312"/>
          <w:sz w:val="32"/>
          <w:szCs w:val="32"/>
        </w:rPr>
        <w:t>聚力提升政务服务品质</w:t>
      </w:r>
    </w:p>
    <w:p>
      <w:pPr>
        <w:spacing w:line="160" w:lineRule="atLeast"/>
        <w:ind w:firstLine="643" w:firstLineChars="200"/>
        <w:rPr>
          <w:rFonts w:ascii="仿宋_GB2312" w:hAnsi="仿宋_GB2312" w:eastAsia="仿宋_GB2312"/>
          <w:sz w:val="32"/>
          <w:szCs w:val="32"/>
        </w:rPr>
      </w:pPr>
      <w:r>
        <w:rPr>
          <w:rFonts w:hint="eastAsia" w:ascii="仿宋_GB2312" w:hAnsi="仿宋_GB2312" w:eastAsia="仿宋_GB2312"/>
          <w:b/>
          <w:sz w:val="32"/>
          <w:szCs w:val="32"/>
        </w:rPr>
        <w:t>全力提升政务服务能级。</w:t>
      </w:r>
      <w:r>
        <w:rPr>
          <w:rFonts w:hint="eastAsia" w:ascii="仿宋_GB2312" w:hAnsi="仿宋_GB2312" w:eastAsia="仿宋_GB2312"/>
          <w:sz w:val="32"/>
          <w:szCs w:val="32"/>
        </w:rPr>
        <w:t>优化政务服务事项管理系统，提升办事要件和办事指南标准化、规范化水平，实现办理类、查询类、预约类政务服务事项全量接入“一网通办”，开通网上办理。推行政务服务中心标准化建设管理，强化线上统一办理平台对线下综合窗口的支撑能力，推进线上线下深度融合，实现事项办理一个平台、一套标准。深化“长三角一体化”战略，全面对接南通，在开通上海崇明-江苏南通专窗基础上，持续加强通办区域、通办事项的深化拓展，加快政务信息数据互联互通，推进政务服务用户体系和电子签章互通互认，优化跨区域办事创业和营商环境，为实现长三角区域联动“一网通办”做出积极探索和有益尝试。</w:t>
      </w:r>
    </w:p>
    <w:p>
      <w:pPr>
        <w:spacing w:line="160" w:lineRule="atLeast"/>
        <w:ind w:firstLine="643" w:firstLineChars="200"/>
        <w:rPr>
          <w:rFonts w:ascii="仿宋_GB2312" w:hAnsi="仿宋_GB2312" w:eastAsia="仿宋_GB2312"/>
          <w:sz w:val="32"/>
          <w:szCs w:val="32"/>
        </w:rPr>
      </w:pPr>
      <w:r>
        <w:rPr>
          <w:rFonts w:hint="eastAsia" w:ascii="仿宋_GB2312" w:hAnsi="仿宋_GB2312" w:eastAsia="仿宋_GB2312"/>
          <w:b/>
          <w:sz w:val="32"/>
          <w:szCs w:val="32"/>
        </w:rPr>
        <w:t>建设政务服务东部中心。</w:t>
      </w:r>
      <w:r>
        <w:rPr>
          <w:rFonts w:hint="eastAsia" w:ascii="仿宋_GB2312" w:hAnsi="仿宋_GB2312" w:eastAsia="仿宋_GB2312"/>
          <w:sz w:val="32"/>
          <w:szCs w:val="32"/>
        </w:rPr>
        <w:t>为彻底改变东部基础设施薄弱、行政服务中心东部分中心仅能办理少量业务、群众办事很不便利的局面，高水平规划建设政务服务东部中心，科学配置基础设施及专业信息化资源，推进各类政务服务事项入驻东部中心，更好服务全区企业和群众办事。同时通过数字化技术深化应用，进一步完善“事前引导、事中帮办、事后回访”全流程贴心导办服务机制，推进政务服务软硬件“双提升”。结合长兴岛发展实际和产业特色，依托、整合、优化配置社会化服务资源，以高品质“一网通办”政务服务赋能企业高效发展，进一步激发市场活力，助力长兴岛国家战略得以切实落实、地方经济得以快速发展。</w:t>
      </w:r>
    </w:p>
    <w:p>
      <w:pPr>
        <w:pStyle w:val="4"/>
        <w:spacing w:line="160" w:lineRule="atLeast"/>
        <w:rPr>
          <w:rFonts w:ascii="仿宋_GB2312" w:hAnsi="仿宋_GB2312" w:eastAsia="仿宋_GB2312"/>
          <w:sz w:val="32"/>
          <w:szCs w:val="32"/>
        </w:rPr>
      </w:pPr>
      <w:r>
        <w:rPr>
          <w:rFonts w:hint="eastAsia" w:ascii="仿宋_GB2312" w:hAnsi="仿宋_GB2312" w:eastAsia="仿宋_GB2312"/>
          <w:sz w:val="32"/>
          <w:szCs w:val="32"/>
        </w:rPr>
        <w:t>助推政务服务精准高效</w:t>
      </w:r>
    </w:p>
    <w:p>
      <w:pPr>
        <w:spacing w:line="160" w:lineRule="atLeast"/>
        <w:ind w:firstLine="643" w:firstLineChars="200"/>
        <w:rPr>
          <w:rFonts w:ascii="仿宋_GB2312" w:hAnsi="仿宋_GB2312" w:eastAsia="仿宋_GB2312"/>
          <w:sz w:val="32"/>
          <w:szCs w:val="32"/>
        </w:rPr>
      </w:pPr>
      <w:r>
        <w:rPr>
          <w:rFonts w:hint="eastAsia" w:ascii="仿宋_GB2312" w:hAnsi="仿宋_GB2312" w:eastAsia="仿宋_GB2312"/>
          <w:b/>
          <w:sz w:val="32"/>
          <w:szCs w:val="32"/>
        </w:rPr>
        <w:t>强化信息技术支撑。</w:t>
      </w:r>
      <w:r>
        <w:rPr>
          <w:rFonts w:hint="eastAsia" w:ascii="仿宋_GB2312" w:hAnsi="仿宋_GB2312" w:eastAsia="仿宋_GB2312"/>
          <w:sz w:val="32"/>
          <w:szCs w:val="32"/>
        </w:rPr>
        <w:t>推动全区政务服务事项全量接入“随申办市民云”崇明旗舰店，打造体现崇明政务服务理念和服务特色的重要窗口，逐步形成本区移动政务服务良好发展生态。将“一件事一次办”、无人干预自动办理、上海崇明-江苏南通专窗、花博会等特色应用接入旗舰店金刚位。运用</w:t>
      </w:r>
      <w:r>
        <w:rPr>
          <w:rFonts w:ascii="仿宋_GB2312" w:hAnsi="仿宋_GB2312" w:eastAsia="仿宋_GB2312"/>
          <w:sz w:val="32"/>
          <w:szCs w:val="32"/>
        </w:rPr>
        <w:t>AI</w:t>
      </w:r>
      <w:r>
        <w:rPr>
          <w:rFonts w:hint="eastAsia" w:ascii="仿宋_GB2312" w:hAnsi="仿宋_GB2312" w:eastAsia="仿宋_GB2312"/>
          <w:sz w:val="32"/>
          <w:szCs w:val="32"/>
        </w:rPr>
        <w:t>、大数据等技术，对用户访问、搜索、办事、交流等行为进行综合分析，构建用户画像，做优市民主页和企业专属网页服务。建设系统互联、数据互通、证照互认、安全可控的统一电子证照应用体系，推进电子证照管理常态化，实现已归集电子证照应用覆盖100%政务服务事项，电子证照类目100%关联办事材料清单，各级政府办事窗口100%接入电子证照库。同时依托“一网通办”总门户，持续推进“一网通办”电子文件归档和电子档案管理工作，实现100%电子印章应用覆盖。</w:t>
      </w:r>
    </w:p>
    <w:p>
      <w:pPr>
        <w:spacing w:line="160" w:lineRule="atLeast"/>
        <w:ind w:firstLine="643" w:firstLineChars="200"/>
        <w:rPr>
          <w:rFonts w:ascii="仿宋_GB2312" w:hAnsi="仿宋_GB2312" w:eastAsia="仿宋_GB2312"/>
          <w:sz w:val="32"/>
          <w:szCs w:val="32"/>
        </w:rPr>
      </w:pPr>
      <w:r>
        <w:rPr>
          <w:rFonts w:hint="eastAsia" w:ascii="仿宋_GB2312" w:hAnsi="仿宋_GB2312" w:eastAsia="仿宋_GB2312"/>
          <w:b/>
          <w:sz w:val="32"/>
          <w:szCs w:val="32"/>
        </w:rPr>
        <w:t>推动“AI+一网通办”运行新模式。</w:t>
      </w:r>
      <w:r>
        <w:rPr>
          <w:rFonts w:hint="eastAsia" w:ascii="仿宋_GB2312" w:hAnsi="仿宋_GB2312" w:eastAsia="仿宋_GB2312"/>
          <w:sz w:val="32"/>
          <w:szCs w:val="32"/>
        </w:rPr>
        <w:t>以智能化场景应用为导向，夯实“AI+一网通办”平台基础能力，汇聚样本数据，构建AI学习内容库，为多终端、多渠道业务应用赋能。积极探索和拓展人工智能在快速审批、材料复核、智能客服、事前事中事后的监管预警等方面的应用，实现AI助力政务服务流程、政务服务体验和政务服务创新，加快实现政务服务的个性化、精准化、主动化和智能化，全面形成“AI+政务服务”新型政务服务模式。</w:t>
      </w:r>
    </w:p>
    <w:p>
      <w:pPr>
        <w:pStyle w:val="4"/>
        <w:spacing w:line="160" w:lineRule="atLeast"/>
        <w:rPr>
          <w:rFonts w:ascii="仿宋_GB2312" w:hAnsi="仿宋_GB2312" w:eastAsia="仿宋_GB2312"/>
          <w:sz w:val="32"/>
          <w:szCs w:val="32"/>
        </w:rPr>
      </w:pPr>
      <w:r>
        <w:rPr>
          <w:rFonts w:hint="eastAsia" w:ascii="仿宋_GB2312" w:hAnsi="仿宋_GB2312" w:eastAsia="仿宋_GB2312"/>
          <w:sz w:val="32"/>
          <w:szCs w:val="32"/>
        </w:rPr>
        <w:t>构建新型市场监管体系</w:t>
      </w:r>
    </w:p>
    <w:p>
      <w:pPr>
        <w:spacing w:line="160" w:lineRule="atLeast"/>
        <w:ind w:firstLine="643" w:firstLineChars="200"/>
        <w:rPr>
          <w:rFonts w:ascii="仿宋_GB2312" w:hAnsi="仿宋_GB2312" w:eastAsia="仿宋_GB2312"/>
          <w:sz w:val="32"/>
          <w:szCs w:val="32"/>
        </w:rPr>
      </w:pPr>
      <w:r>
        <w:rPr>
          <w:rFonts w:hint="eastAsia" w:ascii="仿宋_GB2312" w:hAnsi="仿宋_GB2312" w:eastAsia="仿宋_GB2312"/>
          <w:b/>
          <w:sz w:val="32"/>
          <w:szCs w:val="32"/>
        </w:rPr>
        <w:t>加强事中事后监管工作区级统筹。</w:t>
      </w:r>
      <w:r>
        <w:rPr>
          <w:rFonts w:hint="eastAsia" w:ascii="仿宋_GB2312" w:hAnsi="仿宋_GB2312" w:eastAsia="仿宋_GB2312"/>
          <w:sz w:val="32"/>
          <w:szCs w:val="32"/>
        </w:rPr>
        <w:t>利用大数据分析、挖掘、可视化展示等技术，深化“互联网+监管”平台建设，推进监管数据综合应用，构建分析主题模型，实现重点事件跟踪、查询检索、可视化展示等功能，推动实现规范监管、精准监管、联合监管。建立与事中事后监管相对应的综合评价指标体系，围绕监管业务、投诉举报、社会舆情、群众信访、重大事故、群众评价等数据，对本区有关部门监管工作开展综合评估评价，不断提升监管规范化水平。</w:t>
      </w:r>
    </w:p>
    <w:p>
      <w:pPr>
        <w:spacing w:line="160" w:lineRule="atLeast"/>
        <w:ind w:firstLine="643" w:firstLineChars="200"/>
        <w:rPr>
          <w:rFonts w:ascii="仿宋_GB2312" w:hAnsi="仿宋_GB2312" w:eastAsia="仿宋_GB2312"/>
          <w:sz w:val="32"/>
          <w:szCs w:val="32"/>
        </w:rPr>
      </w:pPr>
      <w:r>
        <w:rPr>
          <w:rFonts w:hint="eastAsia" w:ascii="仿宋_GB2312" w:hAnsi="仿宋_GB2312" w:eastAsia="仿宋_GB2312"/>
          <w:b/>
          <w:sz w:val="32"/>
          <w:szCs w:val="32"/>
        </w:rPr>
        <w:t>深化面向政务领域的大数据信用监管服务。</w:t>
      </w:r>
      <w:r>
        <w:rPr>
          <w:rFonts w:hint="eastAsia" w:ascii="仿宋_GB2312" w:hAnsi="仿宋_GB2312" w:eastAsia="仿宋_GB2312"/>
          <w:sz w:val="32"/>
          <w:szCs w:val="32"/>
        </w:rPr>
        <w:t>夯实信用基础数据，对政府部门掌握的信用信息,做到“应归尽归”。强化政务用信，多维度串联信用场景，推进公共信用产品在行政审批、行政监管、公共服务、公共资源交易等事项全面应用，充分发挥信用导向的规范、指引、监督和约束作用，在事前事中事后全过程实现信用业务协同，形成具有典型示范效应的信用创新应用场景。</w:t>
      </w:r>
    </w:p>
    <w:p>
      <w:pPr>
        <w:pStyle w:val="4"/>
        <w:spacing w:line="160" w:lineRule="atLeast"/>
        <w:rPr>
          <w:rFonts w:ascii="仿宋_GB2312" w:hAnsi="仿宋_GB2312" w:eastAsia="仿宋_GB2312"/>
          <w:b w:val="0"/>
          <w:sz w:val="32"/>
          <w:szCs w:val="32"/>
        </w:rPr>
      </w:pPr>
      <w:r>
        <w:rPr>
          <w:rFonts w:hint="eastAsia" w:ascii="仿宋_GB2312" w:hAnsi="仿宋_GB2312" w:eastAsia="仿宋_GB2312"/>
          <w:sz w:val="32"/>
          <w:szCs w:val="32"/>
        </w:rPr>
        <w:t>强化政务服务考核监督</w:t>
      </w:r>
    </w:p>
    <w:p>
      <w:pPr>
        <w:spacing w:after="240" w:line="160" w:lineRule="atLeast"/>
        <w:ind w:firstLine="643" w:firstLineChars="200"/>
        <w:rPr>
          <w:rFonts w:ascii="仿宋_GB2312" w:hAnsi="仿宋_GB2312" w:eastAsia="仿宋_GB2312"/>
          <w:sz w:val="32"/>
          <w:szCs w:val="32"/>
        </w:rPr>
      </w:pPr>
      <w:r>
        <w:rPr>
          <w:rFonts w:hint="eastAsia" w:ascii="仿宋_GB2312" w:hAnsi="仿宋_GB2312" w:eastAsia="仿宋_GB2312"/>
          <w:b/>
          <w:sz w:val="32"/>
          <w:szCs w:val="32"/>
        </w:rPr>
        <w:t>全面建立并实施“好差评”制度。</w:t>
      </w:r>
      <w:r>
        <w:rPr>
          <w:rFonts w:hint="eastAsia" w:ascii="仿宋_GB2312" w:hAnsi="仿宋_GB2312" w:eastAsia="仿宋_GB2312"/>
          <w:sz w:val="32"/>
          <w:szCs w:val="32"/>
        </w:rPr>
        <w:t>推进落实“好差评”全区覆盖，围绕服务事项、服务渠道、承办单位，实现评价与办事人、办理事项、承办人“三对应”。建设政务服务“好差评”三对应精准评价区级系统，实现本区政务服务中心窗口全量接入和大厅评价、人员评价全覆盖。汇聚网上政务服务大厅及移动端、服务热线等渠道的评价数据，完善“好差评”在线评估功能。建立“好差评”监督、整改、反馈全流程闭环工作机制，平台定期汇总分析反映集中的突出问题，督促相关地区部门整改落实。本区各相关部门对企业群众办事中的差评及时回访，对反映的问题及时处理反馈，支撑政务服务综合评估和监督考核的规范化、数字化、智能化管理，促进政务服务管理工作效能的提升。</w:t>
      </w:r>
    </w:p>
    <w:p>
      <w:pPr>
        <w:pStyle w:val="2"/>
        <w:spacing w:after="0" w:line="160" w:lineRule="atLeast"/>
        <w:rPr>
          <w:rFonts w:ascii="仿宋_GB2312" w:hAnsi="黑体" w:eastAsia="仿宋_GB2312"/>
          <w:sz w:val="32"/>
          <w:szCs w:val="32"/>
        </w:rPr>
      </w:pPr>
      <w:bookmarkStart w:id="222" w:name="_Toc30273"/>
      <w:bookmarkStart w:id="223" w:name="_Toc58250530"/>
      <w:r>
        <w:rPr>
          <w:rFonts w:hint="eastAsia" w:ascii="仿宋_GB2312" w:hAnsi="黑体" w:eastAsia="仿宋_GB2312"/>
          <w:sz w:val="32"/>
          <w:szCs w:val="32"/>
        </w:rPr>
        <w:t>六、创新打造城市智能中枢，驱动数据启智赋能</w:t>
      </w:r>
      <w:bookmarkEnd w:id="212"/>
      <w:bookmarkEnd w:id="213"/>
      <w:bookmarkEnd w:id="214"/>
      <w:bookmarkEnd w:id="215"/>
      <w:bookmarkEnd w:id="216"/>
      <w:bookmarkEnd w:id="217"/>
      <w:bookmarkEnd w:id="222"/>
      <w:bookmarkEnd w:id="223"/>
    </w:p>
    <w:p>
      <w:pPr>
        <w:spacing w:line="160" w:lineRule="atLeast"/>
        <w:ind w:firstLine="640" w:firstLineChars="200"/>
        <w:rPr>
          <w:rFonts w:ascii="仿宋_GB2312" w:hAnsi="仿宋_GB2312" w:eastAsia="仿宋_GB2312" w:cstheme="majorBidi"/>
          <w:sz w:val="32"/>
          <w:szCs w:val="32"/>
        </w:rPr>
      </w:pPr>
      <w:r>
        <w:rPr>
          <w:rFonts w:hint="eastAsia" w:ascii="仿宋_GB2312" w:hAnsi="仿宋_GB2312" w:eastAsia="仿宋_GB2312" w:cstheme="majorBidi"/>
          <w:sz w:val="32"/>
          <w:szCs w:val="32"/>
        </w:rPr>
        <w:t>建设融合互通、先进智能的崇明区大数据平台，支撑崇明区政务信息资源统筹管理和服务工作，实现公共数据统一管理，提供数据归集。推进区级部门自建系统互联互通，整合现有政务信息资源，形成区级数据湖，对公共数据进行分析、数据治理，满足区级部门公共数据以及公共业务能力的共享需求，打造共用共享共治的数据治理新格局，推动崇明区级信息系统整合共享，基本实现“网络通、系统通、数据通、应用通”。</w:t>
      </w:r>
      <w:bookmarkStart w:id="224" w:name="_Toc47451098"/>
      <w:bookmarkStart w:id="225" w:name="_Toc47450989"/>
    </w:p>
    <w:p>
      <w:pPr>
        <w:pStyle w:val="3"/>
        <w:spacing w:line="160" w:lineRule="atLeast"/>
        <w:rPr>
          <w:rFonts w:ascii="仿宋_GB2312" w:hAnsi="黑体" w:eastAsia="仿宋_GB2312"/>
          <w:bCs w:val="0"/>
        </w:rPr>
      </w:pPr>
      <w:bookmarkStart w:id="226" w:name="_Toc10734"/>
      <w:bookmarkStart w:id="227" w:name="_Toc58250531"/>
      <w:r>
        <w:rPr>
          <w:rFonts w:hint="eastAsia" w:ascii="仿宋_GB2312" w:hAnsi="黑体" w:eastAsia="仿宋_GB2312"/>
          <w:bCs w:val="0"/>
        </w:rPr>
        <w:t>（一）深化公共数据整合治理</w:t>
      </w:r>
      <w:bookmarkEnd w:id="224"/>
      <w:bookmarkEnd w:id="225"/>
      <w:bookmarkEnd w:id="226"/>
      <w:bookmarkEnd w:id="227"/>
    </w:p>
    <w:p>
      <w:pPr>
        <w:spacing w:line="160" w:lineRule="atLeast"/>
        <w:ind w:firstLine="640" w:firstLineChars="200"/>
        <w:rPr>
          <w:rFonts w:ascii="仿宋_GB2312" w:hAnsi="仿宋_GB2312" w:eastAsia="仿宋_GB2312" w:cstheme="majorBidi"/>
          <w:sz w:val="32"/>
          <w:szCs w:val="32"/>
        </w:rPr>
      </w:pPr>
      <w:r>
        <w:rPr>
          <w:rFonts w:hint="eastAsia" w:ascii="仿宋_GB2312" w:hAnsi="仿宋_GB2312" w:eastAsia="仿宋_GB2312" w:cstheme="majorBidi"/>
          <w:sz w:val="32"/>
          <w:szCs w:val="32"/>
        </w:rPr>
        <w:t>建立完善的公共数据分层采集体系，开展业务数据、视频数据和物联感知数据的规范采集和结构化处理，实现对公共数据的全量归集和整合。全面开展数据关联和数据治理工作，深化基础数据库、主题数据库、融合型综合数据库建设，形成区级数据湖，保障公共基础数据的完整性，提高不同政府职能部门之间数据共享广度。加强公共数据质量实时跟踪监测，建立数据共享评价和问题数据反馈机制，按照“谁生产、谁治理”“谁提供、谁负责”的原则，结合市、区公共数据标准规范要求，推动相关业务部门对源头数据进行规范采集、校核更新。</w:t>
      </w:r>
    </w:p>
    <w:p>
      <w:pPr>
        <w:pStyle w:val="3"/>
        <w:spacing w:line="160" w:lineRule="atLeast"/>
        <w:rPr>
          <w:rFonts w:ascii="仿宋_GB2312" w:hAnsi="黑体" w:eastAsia="仿宋_GB2312"/>
          <w:bCs w:val="0"/>
        </w:rPr>
      </w:pPr>
      <w:bookmarkStart w:id="228" w:name="_Toc47450990"/>
      <w:bookmarkStart w:id="229" w:name="_Toc58250532"/>
      <w:bookmarkStart w:id="230" w:name="_Toc47451099"/>
      <w:bookmarkStart w:id="231" w:name="_Toc1033"/>
      <w:r>
        <w:rPr>
          <w:rFonts w:hint="eastAsia" w:ascii="仿宋_GB2312" w:hAnsi="黑体" w:eastAsia="仿宋_GB2312"/>
          <w:bCs w:val="0"/>
        </w:rPr>
        <w:t>（二）推进公共数据共享开放</w:t>
      </w:r>
      <w:bookmarkEnd w:id="228"/>
      <w:bookmarkEnd w:id="229"/>
      <w:bookmarkEnd w:id="230"/>
      <w:bookmarkEnd w:id="231"/>
    </w:p>
    <w:p>
      <w:pPr>
        <w:spacing w:line="160" w:lineRule="atLeast"/>
        <w:ind w:firstLine="640" w:firstLineChars="200"/>
        <w:rPr>
          <w:rFonts w:ascii="仿宋_GB2312" w:hAnsi="仿宋_GB2312" w:eastAsia="仿宋_GB2312" w:cstheme="majorBidi"/>
          <w:sz w:val="32"/>
          <w:szCs w:val="32"/>
        </w:rPr>
      </w:pPr>
      <w:r>
        <w:rPr>
          <w:rFonts w:hint="eastAsia" w:ascii="仿宋_GB2312" w:hAnsi="仿宋_GB2312" w:eastAsia="仿宋_GB2312" w:cstheme="majorBidi"/>
          <w:sz w:val="32"/>
          <w:szCs w:val="32"/>
        </w:rPr>
        <w:t>开展政务信息资源目录梳理工作，建立完善的区级“应用场景”目录，健全以应用为导向的数据按需共享机制，推动部门间特定数据资源共享，推进大数据平台后期为全区各类业务系统提供数据支撑和应用支撑。建立健全区政务信息共享门户，切实提高电子数据使用效率，加强与市级平台、长三角一体化数据平台对接，按需推进跨系统、跨部门、跨层级、跨地区、跨领域数据的互通共享，为政务服务“一网通办”、城市运行“一网统管”提供有力数据共享支撑。借助上海作为国家数据开放试点城市优势，依托主题库建设，重点在生态环境、文化旅游等领域形成开放目录和开放标准，激发崇明区内互联网企业、运营商等社会力量探索创新“数智化”服务，协助提升崇明区“一网通办”服务效能。</w:t>
      </w:r>
    </w:p>
    <w:p>
      <w:pPr>
        <w:pStyle w:val="3"/>
        <w:spacing w:line="160" w:lineRule="atLeast"/>
        <w:rPr>
          <w:rFonts w:ascii="仿宋_GB2312" w:hAnsi="黑体" w:eastAsia="仿宋_GB2312"/>
          <w:bCs w:val="0"/>
        </w:rPr>
      </w:pPr>
      <w:bookmarkStart w:id="232" w:name="_Toc47451100"/>
      <w:bookmarkStart w:id="233" w:name="_Toc23812"/>
      <w:bookmarkStart w:id="234" w:name="_Toc47450991"/>
      <w:bookmarkStart w:id="235" w:name="_Toc58250533"/>
      <w:r>
        <w:rPr>
          <w:rFonts w:hint="eastAsia" w:ascii="仿宋_GB2312" w:hAnsi="黑体" w:eastAsia="仿宋_GB2312"/>
          <w:bCs w:val="0"/>
        </w:rPr>
        <w:t>（三）构建公共技术赋能体系</w:t>
      </w:r>
      <w:bookmarkEnd w:id="232"/>
      <w:bookmarkEnd w:id="233"/>
      <w:bookmarkEnd w:id="234"/>
      <w:bookmarkEnd w:id="235"/>
    </w:p>
    <w:p>
      <w:pPr>
        <w:spacing w:line="160" w:lineRule="atLeast"/>
        <w:ind w:firstLine="640" w:firstLineChars="200"/>
        <w:rPr>
          <w:rFonts w:ascii="仿宋_GB2312" w:eastAsia="仿宋_GB2312" w:hAnsiTheme="majorHAnsi" w:cstheme="majorBidi"/>
          <w:sz w:val="32"/>
          <w:szCs w:val="32"/>
        </w:rPr>
      </w:pPr>
      <w:r>
        <w:rPr>
          <w:rFonts w:hint="eastAsia" w:ascii="仿宋_GB2312" w:hAnsi="宋体" w:eastAsia="仿宋_GB2312"/>
          <w:sz w:val="32"/>
          <w:szCs w:val="32"/>
        </w:rPr>
        <w:t>进一步强化完善基于数据的业务支撑能力，</w:t>
      </w:r>
      <w:r>
        <w:rPr>
          <w:rFonts w:hint="eastAsia" w:ascii="仿宋_GB2312" w:hAnsi="仿宋_GB2312" w:eastAsia="仿宋_GB2312" w:cstheme="majorBidi"/>
          <w:bCs/>
          <w:sz w:val="32"/>
          <w:szCs w:val="32"/>
        </w:rPr>
        <w:t>建设人工智能、区块链等新一代信息技术组件，满足各行业对共性技术的赋能需求，</w:t>
      </w:r>
      <w:r>
        <w:rPr>
          <w:rFonts w:hint="eastAsia" w:ascii="仿宋_GB2312" w:eastAsia="仿宋_GB2312" w:hAnsiTheme="majorHAnsi" w:cstheme="majorBidi"/>
          <w:sz w:val="32"/>
          <w:szCs w:val="32"/>
        </w:rPr>
        <w:t>针对环境监测、交通实况、应急处置等高频通用业务需求，鼓励牵头部门开发相应的公共业务组件，同步出台使用标准和规范，满足其他部门、业务系统应用需求。借鉴数据共享模式和机制，建立公共业务能力共享清单，明确公共业务能力共享范围和方式，建立健全公共业务能力的开放共享机制，并通过共享接口的形式提供给上层各部门应用使用，实现在不同场景中的业务能力重用，最大限度地减少政府信息化建设中的重复建设和资源浪费。</w:t>
      </w:r>
    </w:p>
    <w:p>
      <w:pPr>
        <w:pStyle w:val="2"/>
        <w:spacing w:after="0" w:line="160" w:lineRule="atLeast"/>
        <w:rPr>
          <w:rFonts w:ascii="仿宋_GB2312" w:hAnsi="黑体" w:eastAsia="仿宋_GB2312"/>
          <w:sz w:val="32"/>
          <w:szCs w:val="32"/>
        </w:rPr>
      </w:pPr>
      <w:bookmarkStart w:id="236" w:name="_Toc2084"/>
      <w:bookmarkStart w:id="237" w:name="_Toc58250534"/>
      <w:bookmarkStart w:id="238" w:name="_Toc47451028"/>
      <w:bookmarkStart w:id="239" w:name="_Toc38978005"/>
      <w:bookmarkStart w:id="240" w:name="_Toc47450711"/>
      <w:bookmarkStart w:id="241" w:name="_Toc47450130"/>
      <w:bookmarkStart w:id="242" w:name="_Toc47451137"/>
      <w:r>
        <w:rPr>
          <w:rFonts w:hint="eastAsia" w:ascii="仿宋_GB2312" w:hAnsi="黑体" w:eastAsia="仿宋_GB2312"/>
          <w:sz w:val="32"/>
          <w:szCs w:val="32"/>
        </w:rPr>
        <w:t>七、超前布局新型基础设施，强化底层承载能力</w:t>
      </w:r>
      <w:bookmarkEnd w:id="236"/>
      <w:bookmarkEnd w:id="237"/>
    </w:p>
    <w:p>
      <w:pPr>
        <w:pStyle w:val="3"/>
        <w:spacing w:line="160" w:lineRule="atLeast"/>
        <w:rPr>
          <w:rFonts w:ascii="仿宋_GB2312" w:hAnsi="黑体" w:eastAsia="仿宋_GB2312"/>
          <w:bCs w:val="0"/>
        </w:rPr>
      </w:pPr>
      <w:bookmarkStart w:id="243" w:name="_Toc38977986"/>
      <w:bookmarkStart w:id="244" w:name="_Toc24766"/>
      <w:bookmarkStart w:id="245" w:name="_Toc47450974"/>
      <w:bookmarkStart w:id="246" w:name="_Toc38801129"/>
      <w:bookmarkStart w:id="247" w:name="_Toc47450110"/>
      <w:bookmarkStart w:id="248" w:name="_Toc58250535"/>
      <w:bookmarkStart w:id="249" w:name="_Toc47450691"/>
      <w:bookmarkStart w:id="250" w:name="_Toc47451083"/>
      <w:r>
        <w:rPr>
          <w:rFonts w:hint="eastAsia" w:ascii="仿宋_GB2312" w:hAnsi="黑体" w:eastAsia="仿宋_GB2312"/>
          <w:bCs w:val="0"/>
        </w:rPr>
        <w:t>（一）增强“连接”设施，打造信息高速通道</w:t>
      </w:r>
      <w:bookmarkEnd w:id="243"/>
      <w:bookmarkEnd w:id="244"/>
      <w:bookmarkEnd w:id="245"/>
      <w:bookmarkEnd w:id="246"/>
      <w:bookmarkEnd w:id="247"/>
      <w:bookmarkEnd w:id="248"/>
      <w:bookmarkEnd w:id="249"/>
      <w:bookmarkEnd w:id="250"/>
    </w:p>
    <w:p>
      <w:pPr>
        <w:pStyle w:val="4"/>
        <w:numPr>
          <w:ilvl w:val="1"/>
          <w:numId w:val="9"/>
        </w:numPr>
        <w:spacing w:line="160" w:lineRule="atLeast"/>
        <w:rPr>
          <w:rFonts w:ascii="仿宋_GB2312" w:hAnsi="仿宋_GB2312" w:eastAsia="仿宋_GB2312"/>
          <w:sz w:val="32"/>
          <w:szCs w:val="32"/>
        </w:rPr>
      </w:pPr>
      <w:bookmarkStart w:id="251" w:name="_Toc47450975"/>
      <w:bookmarkStart w:id="252" w:name="_Toc47451084"/>
      <w:r>
        <w:rPr>
          <w:rFonts w:hint="eastAsia" w:ascii="仿宋_GB2312" w:hAnsi="仿宋_GB2312" w:eastAsia="仿宋_GB2312"/>
          <w:sz w:val="32"/>
          <w:szCs w:val="32"/>
        </w:rPr>
        <w:t>打造多维“千兆城市”示范区</w:t>
      </w:r>
      <w:bookmarkEnd w:id="251"/>
      <w:bookmarkEnd w:id="252"/>
    </w:p>
    <w:p>
      <w:pPr>
        <w:spacing w:line="160" w:lineRule="atLeast"/>
        <w:ind w:firstLine="640" w:firstLineChars="200"/>
        <w:rPr>
          <w:rFonts w:ascii="仿宋_GB2312" w:hAnsi="仿宋_GB2312" w:eastAsia="仿宋_GB2312" w:cstheme="majorBidi"/>
          <w:bCs/>
          <w:sz w:val="32"/>
          <w:szCs w:val="32"/>
        </w:rPr>
      </w:pPr>
      <w:r>
        <w:rPr>
          <w:rFonts w:hint="eastAsia" w:ascii="仿宋_GB2312" w:hAnsi="仿宋_GB2312" w:eastAsia="仿宋_GB2312" w:cstheme="majorBidi"/>
          <w:bCs/>
          <w:sz w:val="32"/>
          <w:szCs w:val="32"/>
        </w:rPr>
        <w:t>高水平建设5G和固网“双千兆”宽带网络，编制新一轮5G建设行动计划，补充建设5G基站及相关网络设施、机房，优化5G信号网络，持续推进陈家镇、城桥镇等重点区域深度覆盖和重点场景功能性覆盖,依托5G高带宽、低时延等优点，高起点、高标准建设世界级网络基础设施，有效缓解崇明地域广、人口少造成的高人力成本问题，打造多维“千兆城市”先行示范区。推进区政务外网升级改造，实现对海量数据信息的采集，促进政务信息系统互联互通，消除“网络孤岛”。聚焦“5G+人居生态”发展战略，利用5G与人工智能、区块链等创新技术有效融合，推动新一代通信网络服务与应用领域的原创技术突破，使崇明成为上海5G创新应用的并行者。</w:t>
      </w:r>
    </w:p>
    <w:p>
      <w:pPr>
        <w:pStyle w:val="4"/>
        <w:spacing w:line="160" w:lineRule="atLeast"/>
        <w:rPr>
          <w:rFonts w:ascii="仿宋_GB2312" w:hAnsi="仿宋_GB2312" w:eastAsia="仿宋_GB2312"/>
          <w:sz w:val="32"/>
          <w:szCs w:val="32"/>
        </w:rPr>
      </w:pPr>
      <w:bookmarkStart w:id="253" w:name="_Toc47451085"/>
      <w:bookmarkStart w:id="254" w:name="_Toc47450976"/>
      <w:r>
        <w:rPr>
          <w:rFonts w:hint="eastAsia" w:ascii="仿宋_GB2312" w:hAnsi="仿宋_GB2312" w:eastAsia="仿宋_GB2312"/>
          <w:sz w:val="32"/>
          <w:szCs w:val="32"/>
        </w:rPr>
        <w:t>推进网络智能化升级改造</w:t>
      </w:r>
      <w:bookmarkEnd w:id="253"/>
      <w:bookmarkEnd w:id="254"/>
    </w:p>
    <w:p>
      <w:pPr>
        <w:spacing w:after="240" w:line="160" w:lineRule="atLeast"/>
        <w:ind w:firstLine="640" w:firstLineChars="200"/>
        <w:rPr>
          <w:rFonts w:ascii="仿宋_GB2312" w:hAnsi="仿宋_GB2312" w:eastAsia="仿宋_GB2312" w:cstheme="majorBidi"/>
          <w:bCs/>
          <w:sz w:val="32"/>
          <w:szCs w:val="32"/>
        </w:rPr>
      </w:pPr>
      <w:r>
        <w:rPr>
          <w:rFonts w:hint="eastAsia" w:ascii="仿宋_GB2312" w:hAnsi="仿宋_GB2312" w:eastAsia="仿宋_GB2312" w:cstheme="majorBidi"/>
          <w:bCs/>
          <w:sz w:val="32"/>
          <w:szCs w:val="32"/>
        </w:rPr>
        <w:t>全面推进IPv6规模部署，聚焦新型智慧城市、工业互联网、人工智能等领域，强化基于IPv6网络的终端协同创新发展。加快接入设施软件定义网络（SDN）、网络功能虚拟化（NFV）改造，建成智能、敏捷、安全的下一代网络，实现信息通信服务按需供给，信息网络应用个性定制、即开即用。依托上海市量子通信网络建设基础，推进量子保密通信城域网在崇明延伸布局，探索量子通信在政务、电力等行业的前沿应用，培育量子通信技术创新和应用生态。</w:t>
      </w:r>
    </w:p>
    <w:p>
      <w:pPr>
        <w:pStyle w:val="3"/>
        <w:spacing w:line="160" w:lineRule="atLeast"/>
        <w:rPr>
          <w:rFonts w:ascii="仿宋_GB2312" w:hAnsi="黑体" w:eastAsia="仿宋_GB2312"/>
          <w:bCs w:val="0"/>
        </w:rPr>
      </w:pPr>
      <w:bookmarkStart w:id="255" w:name="_Toc47450977"/>
      <w:bookmarkStart w:id="256" w:name="_Toc47450111"/>
      <w:bookmarkStart w:id="257" w:name="_Toc38977987"/>
      <w:bookmarkStart w:id="258" w:name="_Toc47451086"/>
      <w:bookmarkStart w:id="259" w:name="_Toc47450692"/>
      <w:bookmarkStart w:id="260" w:name="_Toc38801130"/>
      <w:bookmarkStart w:id="261" w:name="_Toc5228"/>
      <w:bookmarkStart w:id="262" w:name="_Toc58250536"/>
      <w:r>
        <w:rPr>
          <w:rFonts w:hint="eastAsia" w:ascii="仿宋_GB2312" w:hAnsi="黑体" w:eastAsia="仿宋_GB2312"/>
          <w:bCs w:val="0"/>
        </w:rPr>
        <w:t>（二）部署“感知”设施，推进全域智联</w:t>
      </w:r>
      <w:bookmarkEnd w:id="255"/>
      <w:bookmarkEnd w:id="256"/>
      <w:bookmarkEnd w:id="257"/>
      <w:bookmarkEnd w:id="258"/>
      <w:bookmarkEnd w:id="259"/>
      <w:bookmarkEnd w:id="260"/>
      <w:r>
        <w:rPr>
          <w:rFonts w:hint="eastAsia" w:ascii="仿宋_GB2312" w:hAnsi="黑体" w:eastAsia="仿宋_GB2312"/>
          <w:bCs w:val="0"/>
        </w:rPr>
        <w:t>体系</w:t>
      </w:r>
      <w:bookmarkEnd w:id="261"/>
      <w:bookmarkEnd w:id="262"/>
    </w:p>
    <w:p>
      <w:pPr>
        <w:pStyle w:val="4"/>
        <w:numPr>
          <w:ilvl w:val="1"/>
          <w:numId w:val="10"/>
        </w:numPr>
        <w:spacing w:line="160" w:lineRule="atLeast"/>
        <w:rPr>
          <w:rFonts w:ascii="仿宋_GB2312" w:hAnsi="仿宋_GB2312" w:eastAsia="仿宋_GB2312"/>
          <w:sz w:val="32"/>
          <w:szCs w:val="32"/>
        </w:rPr>
      </w:pPr>
      <w:bookmarkStart w:id="263" w:name="_Toc47451087"/>
      <w:bookmarkStart w:id="264" w:name="_Toc47450978"/>
      <w:r>
        <w:rPr>
          <w:rFonts w:hint="eastAsia" w:ascii="仿宋_GB2312" w:hAnsi="仿宋_GB2312" w:eastAsia="仿宋_GB2312"/>
          <w:sz w:val="32"/>
          <w:szCs w:val="32"/>
        </w:rPr>
        <w:t>建设多维泛在的物联基础设施</w:t>
      </w:r>
      <w:bookmarkEnd w:id="263"/>
      <w:bookmarkEnd w:id="264"/>
    </w:p>
    <w:p>
      <w:pPr>
        <w:spacing w:line="160" w:lineRule="atLeast"/>
        <w:ind w:firstLine="640" w:firstLineChars="200"/>
        <w:rPr>
          <w:rFonts w:ascii="仿宋_GB2312" w:hAnsi="仿宋_GB2312" w:eastAsia="仿宋_GB2312" w:cstheme="majorBidi"/>
          <w:bCs/>
          <w:sz w:val="32"/>
          <w:szCs w:val="32"/>
        </w:rPr>
      </w:pPr>
      <w:r>
        <w:rPr>
          <w:rFonts w:hint="eastAsia" w:ascii="仿宋_GB2312" w:hAnsi="仿宋_GB2312" w:eastAsia="仿宋_GB2312" w:cstheme="majorBidi"/>
          <w:bCs/>
          <w:sz w:val="32"/>
          <w:szCs w:val="32"/>
        </w:rPr>
        <w:t>充分利用运营商网络基站，加快建设覆盖崇明全域的NB-IoT、eMTC新型窄带物联网络，在长兴镇、陈家镇、城桥镇等重点区域，率先开展骨干物联网技术试验和网络部署，支撑公共安全、交通运行、市政管理等领域智能传感设施的异构、泛在、灵活接入。结合“五源多廊”整体生态格局，推进环境物联感知建设，驱动“生态智联”持续发展。建设统一的智能物联感知平台，实现全岛感知数据的统一采集、传输和管理，为上层应用提供智能分析、处理和决策支撑。面向行业发展，以长兴岛为试点示范区域，加快建设低时延、高可靠、广覆盖的工业互联网网络基础设施，推进LTE-V2X网络覆盖，支撑工业互联网和智能网联汽车发展。</w:t>
      </w:r>
    </w:p>
    <w:p>
      <w:pPr>
        <w:pStyle w:val="4"/>
        <w:numPr>
          <w:ilvl w:val="1"/>
          <w:numId w:val="4"/>
        </w:numPr>
        <w:spacing w:line="160" w:lineRule="atLeast"/>
        <w:rPr>
          <w:rFonts w:ascii="仿宋_GB2312" w:hAnsi="仿宋_GB2312" w:eastAsia="仿宋_GB2312"/>
          <w:sz w:val="32"/>
          <w:szCs w:val="32"/>
        </w:rPr>
      </w:pPr>
      <w:bookmarkStart w:id="265" w:name="_Toc47450979"/>
      <w:bookmarkStart w:id="266" w:name="_Toc47451088"/>
      <w:r>
        <w:rPr>
          <w:rFonts w:hint="eastAsia" w:ascii="仿宋_GB2312" w:hAnsi="仿宋_GB2312" w:eastAsia="仿宋_GB2312"/>
          <w:sz w:val="32"/>
          <w:szCs w:val="32"/>
        </w:rPr>
        <w:t>推进公共基础设施数字化转型</w:t>
      </w:r>
      <w:bookmarkEnd w:id="265"/>
      <w:bookmarkEnd w:id="266"/>
    </w:p>
    <w:p>
      <w:pPr>
        <w:spacing w:line="160" w:lineRule="atLeast"/>
        <w:ind w:firstLine="640" w:firstLineChars="200"/>
        <w:rPr>
          <w:rFonts w:ascii="仿宋_GB2312" w:hAnsi="仿宋_GB2312" w:eastAsia="仿宋_GB2312" w:cstheme="majorBidi"/>
          <w:bCs/>
          <w:sz w:val="32"/>
          <w:szCs w:val="32"/>
        </w:rPr>
      </w:pPr>
      <w:r>
        <w:rPr>
          <w:rFonts w:hint="eastAsia" w:ascii="仿宋_GB2312" w:hAnsi="仿宋_GB2312" w:eastAsia="仿宋_GB2312" w:cstheme="majorBidi"/>
          <w:bCs/>
          <w:sz w:val="32"/>
          <w:szCs w:val="32"/>
        </w:rPr>
        <w:t>逐步实施生态源地、河流水系、园林绿化、地下管线、建筑楼宇、道路桥梁等各类物理对象的数字化标识，统筹部署环境感知、状态监测、信号传输、运行控制等各类数字化基础设施，全面满足对城市部件运行状态感知、监测、预警、处置的智慧化需求。构建以“GIS+BIM+IoT”为核心的规划建设模式，推动数字空间与物理空间同步规划、设计、审批、实施、验收，实现物理空间与数字空间同生共长。探索部署垃圾自动收集、可再生能源微电网、新能源汽车充电等新型公共基础设施，提升绿色生态智能发展水平。</w:t>
      </w:r>
    </w:p>
    <w:p>
      <w:pPr>
        <w:pStyle w:val="4"/>
        <w:numPr>
          <w:ilvl w:val="1"/>
          <w:numId w:val="4"/>
        </w:numPr>
        <w:spacing w:line="160" w:lineRule="atLeast"/>
        <w:rPr>
          <w:rFonts w:ascii="仿宋_GB2312" w:hAnsi="仿宋_GB2312" w:eastAsia="仿宋_GB2312"/>
          <w:sz w:val="32"/>
          <w:szCs w:val="32"/>
        </w:rPr>
      </w:pPr>
      <w:bookmarkStart w:id="267" w:name="_Toc47450980"/>
      <w:bookmarkStart w:id="268" w:name="_Toc47451089"/>
      <w:r>
        <w:rPr>
          <w:rFonts w:hint="eastAsia" w:ascii="仿宋_GB2312" w:hAnsi="仿宋_GB2312" w:eastAsia="仿宋_GB2312"/>
          <w:sz w:val="32"/>
          <w:szCs w:val="32"/>
        </w:rPr>
        <w:t>统筹构建物联传感“神经元系统”</w:t>
      </w:r>
      <w:bookmarkEnd w:id="267"/>
      <w:bookmarkEnd w:id="268"/>
    </w:p>
    <w:p>
      <w:pPr>
        <w:spacing w:after="240" w:line="160" w:lineRule="atLeast"/>
        <w:ind w:firstLine="640" w:firstLineChars="200"/>
        <w:rPr>
          <w:rFonts w:ascii="仿宋_GB2312" w:hAnsi="仿宋_GB2312" w:eastAsia="仿宋_GB2312" w:cstheme="majorBidi"/>
          <w:bCs/>
          <w:sz w:val="32"/>
          <w:szCs w:val="32"/>
        </w:rPr>
      </w:pPr>
      <w:r>
        <w:rPr>
          <w:rFonts w:hint="eastAsia" w:ascii="仿宋_GB2312" w:hAnsi="仿宋_GB2312" w:eastAsia="仿宋_GB2312" w:cstheme="majorBidi"/>
          <w:bCs/>
          <w:sz w:val="32"/>
          <w:szCs w:val="32"/>
        </w:rPr>
        <w:t>推动全岛感知设施的统筹规划、共建共享和集约部署，以“生态智联”为核心导向，驱动“生态智联平台”逐步向三岛一体的综合领域进行延伸和覆盖，建立涵盖地下、地面、空中、水下等全岛一体化的多维立体“智联全域体系”。进一步发挥感知标识能力，对生态岛有形实体赋予唯一身份信息，实现物理实体与孪生虚体的精准映射，全面激发人工智能与物联数据化学效应，使物联网获取感知与识别能力，实时“读写”全岛运行真实状态，最终形成从感知、思考到行动的“数字孪生”生态第一岛。</w:t>
      </w:r>
    </w:p>
    <w:p>
      <w:pPr>
        <w:pStyle w:val="3"/>
        <w:spacing w:line="160" w:lineRule="atLeast"/>
        <w:rPr>
          <w:rFonts w:ascii="仿宋_GB2312" w:hAnsi="黑体" w:eastAsia="仿宋_GB2312"/>
          <w:bCs w:val="0"/>
        </w:rPr>
      </w:pPr>
      <w:bookmarkStart w:id="269" w:name="_Toc38977988"/>
      <w:bookmarkStart w:id="270" w:name="_Toc47450981"/>
      <w:bookmarkStart w:id="271" w:name="_Toc47451090"/>
      <w:bookmarkStart w:id="272" w:name="_Toc47450112"/>
      <w:bookmarkStart w:id="273" w:name="_Toc58250537"/>
      <w:bookmarkStart w:id="274" w:name="_Toc47450693"/>
      <w:bookmarkStart w:id="275" w:name="_Toc7840"/>
      <w:bookmarkStart w:id="276" w:name="_Toc38801131"/>
      <w:r>
        <w:rPr>
          <w:rFonts w:hint="eastAsia" w:ascii="仿宋_GB2312" w:hAnsi="黑体" w:eastAsia="仿宋_GB2312"/>
          <w:bCs w:val="0"/>
        </w:rPr>
        <w:t>（三）协调“存算”设施，创新边云协同一体</w:t>
      </w:r>
      <w:bookmarkEnd w:id="269"/>
      <w:bookmarkEnd w:id="270"/>
      <w:bookmarkEnd w:id="271"/>
      <w:bookmarkEnd w:id="272"/>
      <w:bookmarkEnd w:id="273"/>
      <w:bookmarkEnd w:id="274"/>
      <w:bookmarkEnd w:id="275"/>
      <w:bookmarkEnd w:id="276"/>
    </w:p>
    <w:p>
      <w:pPr>
        <w:pStyle w:val="4"/>
        <w:numPr>
          <w:ilvl w:val="1"/>
          <w:numId w:val="11"/>
        </w:numPr>
        <w:spacing w:line="160" w:lineRule="atLeast"/>
        <w:rPr>
          <w:rFonts w:ascii="仿宋_GB2312" w:hAnsi="仿宋_GB2312" w:eastAsia="仿宋_GB2312"/>
          <w:sz w:val="32"/>
          <w:szCs w:val="32"/>
        </w:rPr>
      </w:pPr>
      <w:bookmarkStart w:id="277" w:name="_Toc47451091"/>
      <w:bookmarkStart w:id="278" w:name="_Toc47450982"/>
      <w:r>
        <w:rPr>
          <w:rFonts w:hint="eastAsia" w:ascii="仿宋_GB2312" w:hAnsi="仿宋_GB2312" w:eastAsia="仿宋_GB2312"/>
          <w:sz w:val="32"/>
          <w:szCs w:val="32"/>
        </w:rPr>
        <w:t>打造全栈全场景智能计算能力</w:t>
      </w:r>
      <w:bookmarkEnd w:id="277"/>
      <w:bookmarkEnd w:id="278"/>
    </w:p>
    <w:p>
      <w:pPr>
        <w:spacing w:line="160" w:lineRule="atLeast"/>
        <w:ind w:firstLine="640" w:firstLineChars="200"/>
        <w:rPr>
          <w:rFonts w:ascii="仿宋_GB2312" w:hAnsi="仿宋_GB2312" w:eastAsia="仿宋_GB2312" w:cstheme="majorBidi"/>
          <w:sz w:val="32"/>
          <w:szCs w:val="32"/>
        </w:rPr>
      </w:pPr>
      <w:r>
        <w:rPr>
          <w:rFonts w:hint="eastAsia" w:ascii="仿宋_GB2312" w:hAnsi="仿宋_GB2312" w:eastAsia="仿宋_GB2312" w:cstheme="majorBidi"/>
          <w:sz w:val="32"/>
          <w:szCs w:val="32"/>
        </w:rPr>
        <w:t>面对未来边、云、端不同的计算架构和开发模式，加速构建通用计算、AI计算相融合的高性能计算能力，并采用以应用为牵引的共通共用高性能计算平台和人工智能算力平台服务，提供覆盖云、边、端的全栈全场景智能计算能力，重点强化对</w:t>
      </w:r>
      <w:r>
        <w:rPr>
          <w:rFonts w:hint="eastAsia" w:ascii="仿宋_GB2312" w:hAnsi="仿宋_GB2312" w:eastAsia="仿宋_GB2312"/>
          <w:sz w:val="32"/>
          <w:szCs w:val="32"/>
        </w:rPr>
        <w:t>海量视频和物联数据的智能解析和非结构化处理能力，满足各类智能场景分析应用。</w:t>
      </w:r>
      <w:r>
        <w:rPr>
          <w:rFonts w:hint="eastAsia" w:ascii="仿宋_GB2312" w:hAnsi="仿宋_GB2312" w:eastAsia="仿宋_GB2312" w:cstheme="majorBidi"/>
          <w:sz w:val="32"/>
          <w:szCs w:val="32"/>
        </w:rPr>
        <w:t>探索多云混合模式，引入不同厂商云平台，依据各业务系统与信息资源管理特性，满足政府部门对云资源和专业服务的个性化需求，通过统一的云管平台实现资源统一纳管，有效驱动系统上云。结合崇明绿色产业体系发展需求，鼓励建设企业云计算服务中心，通过可定制的管理流程实现物理、虚拟、异构虚拟化的统一监控、调度和管理，为中小企业发展提供支撑，助力崇明实体经济。推进安全可靠云平台建设，形成全栈式云服务能力，实现全平台云计算的统一管理。</w:t>
      </w:r>
    </w:p>
    <w:p>
      <w:pPr>
        <w:pStyle w:val="4"/>
        <w:numPr>
          <w:ilvl w:val="1"/>
          <w:numId w:val="11"/>
        </w:numPr>
        <w:spacing w:line="160" w:lineRule="atLeast"/>
        <w:rPr>
          <w:rFonts w:ascii="仿宋_GB2312" w:hAnsi="仿宋_GB2312" w:eastAsia="仿宋_GB2312"/>
          <w:sz w:val="32"/>
          <w:szCs w:val="32"/>
        </w:rPr>
      </w:pPr>
      <w:bookmarkStart w:id="279" w:name="_Toc47451092"/>
      <w:bookmarkStart w:id="280" w:name="_Toc47450983"/>
      <w:r>
        <w:rPr>
          <w:rFonts w:hint="eastAsia" w:ascii="仿宋_GB2312" w:hAnsi="仿宋_GB2312" w:eastAsia="仿宋_GB2312"/>
          <w:sz w:val="32"/>
          <w:szCs w:val="32"/>
        </w:rPr>
        <w:t>推动算力资源云边端统筹供给</w:t>
      </w:r>
      <w:bookmarkEnd w:id="279"/>
      <w:bookmarkEnd w:id="280"/>
    </w:p>
    <w:p>
      <w:pPr>
        <w:spacing w:after="240" w:line="160" w:lineRule="atLeast"/>
        <w:ind w:firstLine="640" w:firstLineChars="200"/>
        <w:rPr>
          <w:rFonts w:ascii="仿宋_GB2312" w:hAnsi="仿宋_GB2312" w:eastAsia="仿宋_GB2312" w:cstheme="majorBidi"/>
          <w:sz w:val="32"/>
          <w:szCs w:val="32"/>
        </w:rPr>
      </w:pPr>
      <w:r>
        <w:rPr>
          <w:rFonts w:hint="eastAsia" w:ascii="仿宋_GB2312" w:hAnsi="仿宋_GB2312" w:eastAsia="仿宋_GB2312" w:cstheme="majorBidi"/>
          <w:sz w:val="32"/>
          <w:szCs w:val="32"/>
        </w:rPr>
        <w:t>面对无人驾驶、智能视频监控、智能制造等应用领域对边缘计算能力的必要需求，在示范智能工厂、试点无人驾驶道路等物理空间，探索规划布局边缘计算节点，提供周边环境感应和近端快速响应能力。建设集网络、计算、存储、应用核心能力为一体的边缘</w:t>
      </w:r>
      <w:bookmarkStart w:id="281" w:name="_Hlk51595968"/>
      <w:r>
        <w:rPr>
          <w:rFonts w:hint="eastAsia" w:ascii="仿宋_GB2312" w:hAnsi="仿宋_GB2312" w:eastAsia="仿宋_GB2312" w:cstheme="majorBidi"/>
          <w:sz w:val="32"/>
          <w:szCs w:val="32"/>
        </w:rPr>
        <w:t>计算技术应用</w:t>
      </w:r>
      <w:bookmarkEnd w:id="281"/>
      <w:r>
        <w:rPr>
          <w:rFonts w:hint="eastAsia" w:ascii="仿宋_GB2312" w:hAnsi="仿宋_GB2312" w:eastAsia="仿宋_GB2312" w:cstheme="majorBidi"/>
          <w:sz w:val="32"/>
          <w:szCs w:val="32"/>
        </w:rPr>
        <w:t>平台，为边缘应用场景提供低延时、高带宽的近端数据处理能力，满足行业在实时业务、应用智能、安全与隐私保护等方面的基本需求，有效实现算力资源在云、边、端的统筹供给。</w:t>
      </w:r>
    </w:p>
    <w:p>
      <w:pPr>
        <w:pStyle w:val="3"/>
        <w:spacing w:line="160" w:lineRule="atLeast"/>
        <w:rPr>
          <w:rFonts w:ascii="仿宋_GB2312" w:hAnsi="黑体" w:eastAsia="仿宋_GB2312"/>
          <w:bCs w:val="0"/>
        </w:rPr>
      </w:pPr>
      <w:bookmarkStart w:id="282" w:name="_Toc47450113"/>
      <w:bookmarkStart w:id="283" w:name="_Toc47450984"/>
      <w:bookmarkStart w:id="284" w:name="_Toc38801132"/>
      <w:bookmarkStart w:id="285" w:name="_Toc47450694"/>
      <w:bookmarkStart w:id="286" w:name="_Toc38977989"/>
      <w:bookmarkStart w:id="287" w:name="_Toc58250538"/>
      <w:bookmarkStart w:id="288" w:name="_Toc47451093"/>
      <w:bookmarkStart w:id="289" w:name="_Toc14142"/>
      <w:r>
        <w:rPr>
          <w:rFonts w:hint="eastAsia" w:ascii="仿宋_GB2312" w:hAnsi="黑体" w:eastAsia="仿宋_GB2312"/>
          <w:bCs w:val="0"/>
        </w:rPr>
        <w:t>（四）谋划“前沿”设施，增强技术能力供给</w:t>
      </w:r>
      <w:bookmarkEnd w:id="282"/>
      <w:bookmarkEnd w:id="283"/>
      <w:bookmarkEnd w:id="284"/>
      <w:bookmarkEnd w:id="285"/>
      <w:bookmarkEnd w:id="286"/>
      <w:bookmarkEnd w:id="287"/>
      <w:bookmarkEnd w:id="288"/>
      <w:bookmarkEnd w:id="289"/>
    </w:p>
    <w:p>
      <w:pPr>
        <w:pStyle w:val="4"/>
        <w:numPr>
          <w:ilvl w:val="1"/>
          <w:numId w:val="12"/>
        </w:numPr>
        <w:spacing w:line="160" w:lineRule="atLeast"/>
        <w:rPr>
          <w:rFonts w:ascii="仿宋_GB2312" w:hAnsi="仿宋_GB2312" w:eastAsia="仿宋_GB2312"/>
          <w:sz w:val="32"/>
          <w:szCs w:val="32"/>
        </w:rPr>
      </w:pPr>
      <w:bookmarkStart w:id="290" w:name="_Toc47451094"/>
      <w:bookmarkStart w:id="291" w:name="_Toc47450985"/>
      <w:r>
        <w:rPr>
          <w:rFonts w:hint="eastAsia" w:ascii="仿宋_GB2312" w:eastAsia="仿宋_GB2312" w:hAnsiTheme="majorHAnsi" w:cstheme="majorBidi"/>
          <w:sz w:val="32"/>
          <w:szCs w:val="32"/>
        </w:rPr>
        <w:t>深化大院大所合作</w:t>
      </w:r>
      <w:bookmarkEnd w:id="290"/>
      <w:bookmarkEnd w:id="291"/>
    </w:p>
    <w:p>
      <w:pPr>
        <w:spacing w:line="160" w:lineRule="atLeast"/>
        <w:ind w:firstLine="640" w:firstLineChars="200"/>
        <w:rPr>
          <w:rFonts w:ascii="仿宋_GB2312" w:hAnsi="仿宋_GB2312" w:eastAsia="仿宋_GB2312"/>
          <w:sz w:val="32"/>
          <w:szCs w:val="32"/>
        </w:rPr>
      </w:pPr>
      <w:r>
        <w:rPr>
          <w:rFonts w:hint="eastAsia" w:ascii="仿宋_GB2312" w:hAnsi="仿宋_GB2312" w:eastAsia="仿宋_GB2312"/>
          <w:sz w:val="32"/>
          <w:szCs w:val="32"/>
        </w:rPr>
        <w:t>全面发挥上海</w:t>
      </w:r>
      <w:r>
        <w:rPr>
          <w:rFonts w:hint="eastAsia" w:ascii="仿宋_GB2312" w:hAnsi="仿宋_GB2312" w:eastAsia="仿宋_GB2312" w:cs="仿宋_GB2312"/>
          <w:sz w:val="32"/>
          <w:szCs w:val="32"/>
        </w:rPr>
        <w:t>科创中心</w:t>
      </w:r>
      <w:r>
        <w:rPr>
          <w:rFonts w:hint="eastAsia" w:ascii="仿宋_GB2312" w:hAnsi="仿宋_GB2312" w:eastAsia="仿宋_GB2312"/>
          <w:sz w:val="32"/>
          <w:szCs w:val="32"/>
        </w:rPr>
        <w:t>的天然优势,依托</w:t>
      </w:r>
      <w:r>
        <w:rPr>
          <w:rFonts w:hint="eastAsia" w:ascii="仿宋_GB2312" w:hAnsi="Calibri" w:eastAsia="仿宋_GB2312" w:cs="黑体"/>
          <w:sz w:val="32"/>
          <w:szCs w:val="32"/>
        </w:rPr>
        <w:t>上海东滩智联网研究院、崇明区生态农业科创中心、长兴岛海洋装备研究中心，</w:t>
      </w:r>
      <w:r>
        <w:rPr>
          <w:rFonts w:hint="eastAsia" w:ascii="仿宋_GB2312" w:hAnsi="仿宋_GB2312" w:eastAsia="仿宋_GB2312"/>
          <w:sz w:val="32"/>
          <w:szCs w:val="32"/>
        </w:rPr>
        <w:t>深化与上海复旦大学、上海交通大学等各类科研院校、知名企业在信息化领域的合作，推动引进一批国内外知名高校及企业来崇明办学或设立科研机构，紧紧把握技术发展新潮流，瞄准社会进步新需求，充分发挥大院大所技术、人才优势，积极开展信息化领域基础技术和应用研究。</w:t>
      </w:r>
    </w:p>
    <w:p>
      <w:pPr>
        <w:pStyle w:val="4"/>
        <w:numPr>
          <w:ilvl w:val="1"/>
          <w:numId w:val="12"/>
        </w:numPr>
        <w:spacing w:line="160" w:lineRule="atLeast"/>
        <w:rPr>
          <w:rFonts w:ascii="仿宋_GB2312" w:hAnsi="仿宋_GB2312" w:eastAsia="仿宋_GB2312"/>
          <w:sz w:val="32"/>
          <w:szCs w:val="32"/>
        </w:rPr>
      </w:pPr>
      <w:bookmarkStart w:id="292" w:name="_Toc47450986"/>
      <w:bookmarkStart w:id="293" w:name="_Toc47451095"/>
      <w:r>
        <w:rPr>
          <w:rFonts w:hint="eastAsia" w:ascii="仿宋_GB2312" w:hAnsi="仿宋_GB2312" w:eastAsia="仿宋_GB2312"/>
          <w:sz w:val="32"/>
          <w:szCs w:val="32"/>
        </w:rPr>
        <w:t>实施核心技术突破</w:t>
      </w:r>
      <w:bookmarkEnd w:id="292"/>
      <w:bookmarkEnd w:id="293"/>
    </w:p>
    <w:p>
      <w:pPr>
        <w:spacing w:after="240" w:line="1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theme="majorBidi"/>
          <w:sz w:val="32"/>
          <w:szCs w:val="32"/>
        </w:rPr>
        <w:t>结合崇明实际，组织实施科技基础研究、重点创新产业化升级等工程，以现有产业园区、创新园区为基础，依托优势企业或科研机构，聚焦人工智能、区块链、云计算、大数据、边缘计算、物联网和5G等新一代信息技术领域，深入推进核心技术攻关和产业化应用研究，</w:t>
      </w:r>
      <w:r>
        <w:rPr>
          <w:rFonts w:hint="eastAsia" w:ascii="仿宋_GB2312" w:hAnsi="仿宋_GB2312" w:eastAsia="仿宋_GB2312" w:cs="仿宋_GB2312"/>
          <w:sz w:val="32"/>
          <w:szCs w:val="32"/>
        </w:rPr>
        <w:t>努力成为上海市科创中心建设的重要组成部分。</w:t>
      </w:r>
    </w:p>
    <w:p>
      <w:pPr>
        <w:pStyle w:val="2"/>
        <w:spacing w:after="0" w:line="160" w:lineRule="atLeast"/>
        <w:rPr>
          <w:rFonts w:ascii="仿宋_GB2312" w:hAnsi="黑体" w:eastAsia="仿宋_GB2312"/>
          <w:sz w:val="32"/>
          <w:szCs w:val="32"/>
        </w:rPr>
      </w:pPr>
      <w:bookmarkStart w:id="294" w:name="_Toc4839"/>
      <w:bookmarkStart w:id="295" w:name="_Toc58250539"/>
      <w:r>
        <w:rPr>
          <w:rFonts w:hint="eastAsia" w:ascii="仿宋_GB2312" w:hAnsi="黑体" w:eastAsia="仿宋_GB2312"/>
          <w:sz w:val="32"/>
          <w:szCs w:val="32"/>
        </w:rPr>
        <w:t>八、统筹构建信息保障体系，确保整体安全高效</w:t>
      </w:r>
      <w:bookmarkEnd w:id="238"/>
      <w:bookmarkEnd w:id="239"/>
      <w:bookmarkEnd w:id="240"/>
      <w:bookmarkEnd w:id="241"/>
      <w:bookmarkEnd w:id="242"/>
      <w:bookmarkEnd w:id="294"/>
      <w:bookmarkEnd w:id="295"/>
    </w:p>
    <w:p>
      <w:pPr>
        <w:pStyle w:val="3"/>
        <w:spacing w:line="160" w:lineRule="atLeast"/>
        <w:rPr>
          <w:rFonts w:ascii="仿宋_GB2312" w:hAnsi="黑体" w:eastAsia="仿宋_GB2312"/>
          <w:bCs w:val="0"/>
        </w:rPr>
      </w:pPr>
      <w:bookmarkStart w:id="296" w:name="_Toc38978006"/>
      <w:bookmarkStart w:id="297" w:name="_Toc47450712"/>
      <w:bookmarkStart w:id="298" w:name="_Toc47451138"/>
      <w:bookmarkStart w:id="299" w:name="_Toc28109"/>
      <w:bookmarkStart w:id="300" w:name="_Toc47450131"/>
      <w:bookmarkStart w:id="301" w:name="_Toc58250540"/>
      <w:bookmarkStart w:id="302" w:name="_Toc47451029"/>
      <w:bookmarkStart w:id="303" w:name="_Toc14959775"/>
      <w:r>
        <w:rPr>
          <w:rFonts w:hint="eastAsia" w:ascii="仿宋_GB2312" w:hAnsi="黑体" w:eastAsia="仿宋_GB2312"/>
          <w:bCs w:val="0"/>
        </w:rPr>
        <w:t>（一）构筑全面覆盖的网络安全体系</w:t>
      </w:r>
      <w:bookmarkEnd w:id="296"/>
      <w:bookmarkEnd w:id="297"/>
      <w:bookmarkEnd w:id="298"/>
      <w:bookmarkEnd w:id="299"/>
      <w:bookmarkEnd w:id="300"/>
      <w:bookmarkEnd w:id="301"/>
      <w:bookmarkEnd w:id="302"/>
      <w:bookmarkEnd w:id="303"/>
    </w:p>
    <w:p>
      <w:pPr>
        <w:pStyle w:val="4"/>
        <w:numPr>
          <w:ilvl w:val="1"/>
          <w:numId w:val="13"/>
        </w:numPr>
        <w:spacing w:line="160" w:lineRule="atLeast"/>
        <w:rPr>
          <w:rFonts w:ascii="仿宋_GB2312" w:hAnsi="仿宋_GB2312" w:eastAsia="仿宋_GB2312"/>
          <w:sz w:val="32"/>
          <w:szCs w:val="32"/>
        </w:rPr>
      </w:pPr>
      <w:bookmarkStart w:id="304" w:name="_Toc47451139"/>
      <w:bookmarkStart w:id="305" w:name="_Toc47451030"/>
      <w:r>
        <w:rPr>
          <w:rFonts w:hint="eastAsia" w:ascii="仿宋_GB2312" w:hAnsi="仿宋_GB2312" w:eastAsia="仿宋_GB2312"/>
          <w:sz w:val="32"/>
          <w:szCs w:val="32"/>
        </w:rPr>
        <w:t>加强关键基础设施安全防护</w:t>
      </w:r>
      <w:bookmarkEnd w:id="304"/>
      <w:bookmarkEnd w:id="305"/>
    </w:p>
    <w:p>
      <w:pPr>
        <w:spacing w:line="160" w:lineRule="atLeast"/>
        <w:ind w:firstLine="601"/>
        <w:rPr>
          <w:rFonts w:ascii="仿宋_GB2312" w:hAnsi="仿宋" w:eastAsia="仿宋_GB2312" w:cs="微软雅黑"/>
          <w:bCs/>
          <w:sz w:val="32"/>
          <w:szCs w:val="32"/>
          <w:shd w:val="clear" w:color="auto" w:fill="FFFFFF"/>
        </w:rPr>
      </w:pPr>
      <w:r>
        <w:rPr>
          <w:rFonts w:hint="eastAsia" w:ascii="仿宋_GB2312" w:hAnsi="仿宋" w:eastAsia="仿宋_GB2312" w:cs="微软雅黑"/>
          <w:bCs/>
          <w:sz w:val="32"/>
          <w:szCs w:val="32"/>
          <w:shd w:val="clear" w:color="auto" w:fill="FFFFFF"/>
        </w:rPr>
        <w:t>落实等级保护2.0制度，综合利用区块链、密码应用等成熟的信息安全技术，引进开发适应信息安全形势的新技术与产品，从物理、网络、主机、应用、数据几个层面，探索建立强健的信息安全技术保障体系</w:t>
      </w:r>
      <w:r>
        <w:rPr>
          <w:rFonts w:hint="eastAsia" w:ascii="仿宋_GB2312" w:hAnsi="仿宋_GB2312" w:eastAsia="仿宋_GB2312"/>
          <w:sz w:val="32"/>
          <w:szCs w:val="32"/>
        </w:rPr>
        <w:t>。</w:t>
      </w:r>
      <w:r>
        <w:rPr>
          <w:rFonts w:hint="eastAsia" w:ascii="仿宋_GB2312" w:hAnsi="仿宋" w:eastAsia="仿宋_GB2312" w:cs="微软雅黑"/>
          <w:bCs/>
          <w:sz w:val="32"/>
          <w:szCs w:val="32"/>
          <w:shd w:val="clear" w:color="auto" w:fill="FFFFFF"/>
        </w:rPr>
        <w:t>以“技术先进、安全可靠”为原则，加强城市安全基础设施支撑能力，加快信息创新能力建设，逐步建设自主可控、安全可靠的网络信任体系和数据保密体系。</w:t>
      </w:r>
    </w:p>
    <w:p>
      <w:pPr>
        <w:pStyle w:val="4"/>
        <w:numPr>
          <w:ilvl w:val="1"/>
          <w:numId w:val="13"/>
        </w:numPr>
        <w:spacing w:line="160" w:lineRule="atLeast"/>
        <w:rPr>
          <w:rFonts w:ascii="仿宋_GB2312" w:hAnsi="仿宋_GB2312" w:eastAsia="仿宋_GB2312"/>
          <w:sz w:val="32"/>
          <w:szCs w:val="32"/>
        </w:rPr>
      </w:pPr>
      <w:bookmarkStart w:id="306" w:name="_Toc47451140"/>
      <w:bookmarkStart w:id="307" w:name="_Toc47451031"/>
      <w:r>
        <w:rPr>
          <w:rFonts w:hint="eastAsia" w:ascii="仿宋_GB2312" w:hAnsi="仿宋_GB2312" w:eastAsia="仿宋_GB2312"/>
          <w:sz w:val="32"/>
          <w:szCs w:val="32"/>
        </w:rPr>
        <w:t>提升网络安全应急处置能力</w:t>
      </w:r>
      <w:bookmarkEnd w:id="306"/>
      <w:bookmarkEnd w:id="307"/>
    </w:p>
    <w:p>
      <w:pPr>
        <w:spacing w:line="160" w:lineRule="atLeast"/>
        <w:ind w:firstLine="640" w:firstLineChars="200"/>
        <w:rPr>
          <w:rFonts w:ascii="仿宋_GB2312" w:hAnsi="仿宋_GB2312" w:eastAsia="仿宋_GB2312"/>
          <w:sz w:val="32"/>
          <w:szCs w:val="32"/>
        </w:rPr>
      </w:pPr>
      <w:r>
        <w:rPr>
          <w:rFonts w:hint="eastAsia" w:ascii="仿宋_GB2312" w:hAnsi="仿宋_GB2312" w:eastAsia="仿宋_GB2312"/>
          <w:sz w:val="32"/>
          <w:szCs w:val="32"/>
        </w:rPr>
        <w:t>统筹建设全天候、全方位、全领域、全覆盖的网络安全态势感知体系，收集和深度挖掘分析海量安全数据，探索应用机器学习、深度学习等算法监测各类漏洞和攻击等网络安全风险，强化网络安全威胁报警、重要安全系统的实时监测、网络安全预警及感知、可视化态势展示等功能。建立健全网络安全应急联动体系，完善网络安全应急预案，开展网络安全应急演练，提高对网络安全重大事件的统一指挥协调和响应处置能力。</w:t>
      </w:r>
    </w:p>
    <w:p>
      <w:pPr>
        <w:pStyle w:val="3"/>
        <w:spacing w:line="160" w:lineRule="atLeast"/>
        <w:rPr>
          <w:rFonts w:ascii="仿宋_GB2312" w:hAnsi="黑体" w:eastAsia="仿宋_GB2312"/>
          <w:bCs w:val="0"/>
        </w:rPr>
      </w:pPr>
      <w:bookmarkStart w:id="308" w:name="_Toc14959776"/>
      <w:bookmarkStart w:id="309" w:name="_Toc14376"/>
      <w:bookmarkStart w:id="310" w:name="_Toc47451141"/>
      <w:bookmarkStart w:id="311" w:name="_Toc47451032"/>
      <w:bookmarkStart w:id="312" w:name="_Toc38978007"/>
      <w:bookmarkStart w:id="313" w:name="_Toc47450713"/>
      <w:bookmarkStart w:id="314" w:name="_Toc58250541"/>
      <w:bookmarkStart w:id="315" w:name="_Toc47450132"/>
      <w:r>
        <w:rPr>
          <w:rFonts w:hint="eastAsia" w:ascii="仿宋_GB2312" w:hAnsi="黑体" w:eastAsia="仿宋_GB2312"/>
          <w:bCs w:val="0"/>
        </w:rPr>
        <w:t>（二）构建统筹衔接的标准规范体系</w:t>
      </w:r>
      <w:bookmarkEnd w:id="308"/>
      <w:bookmarkEnd w:id="309"/>
      <w:bookmarkEnd w:id="310"/>
      <w:bookmarkEnd w:id="311"/>
      <w:bookmarkEnd w:id="312"/>
      <w:bookmarkEnd w:id="313"/>
      <w:bookmarkEnd w:id="314"/>
      <w:bookmarkEnd w:id="315"/>
    </w:p>
    <w:p>
      <w:pPr>
        <w:pStyle w:val="4"/>
        <w:numPr>
          <w:ilvl w:val="1"/>
          <w:numId w:val="14"/>
        </w:numPr>
        <w:spacing w:line="160" w:lineRule="atLeast"/>
        <w:rPr>
          <w:rFonts w:ascii="仿宋_GB2312" w:hAnsi="仿宋_GB2312" w:eastAsia="仿宋_GB2312"/>
          <w:sz w:val="32"/>
          <w:szCs w:val="32"/>
        </w:rPr>
      </w:pPr>
      <w:bookmarkStart w:id="316" w:name="_Toc47451142"/>
      <w:bookmarkStart w:id="317" w:name="_Toc47451033"/>
      <w:r>
        <w:rPr>
          <w:rFonts w:hint="eastAsia" w:ascii="仿宋_GB2312" w:hAnsi="仿宋_GB2312" w:eastAsia="仿宋_GB2312"/>
          <w:sz w:val="32"/>
          <w:szCs w:val="32"/>
        </w:rPr>
        <w:t>建立完善区信息化标准体系</w:t>
      </w:r>
      <w:bookmarkEnd w:id="316"/>
      <w:bookmarkEnd w:id="317"/>
    </w:p>
    <w:p>
      <w:pPr>
        <w:spacing w:line="160" w:lineRule="atLeast"/>
        <w:ind w:firstLine="640" w:firstLineChars="200"/>
        <w:rPr>
          <w:rFonts w:ascii="仿宋_GB2312" w:hAnsi="仿宋_GB2312" w:eastAsia="仿宋_GB2312"/>
          <w:sz w:val="32"/>
          <w:szCs w:val="32"/>
        </w:rPr>
      </w:pPr>
      <w:r>
        <w:rPr>
          <w:rFonts w:hint="eastAsia" w:ascii="仿宋_GB2312" w:hAnsi="仿宋" w:eastAsia="仿宋_GB2312" w:cs="微软雅黑"/>
          <w:sz w:val="32"/>
          <w:szCs w:val="32"/>
          <w:shd w:val="clear" w:color="auto" w:fill="FFFFFF"/>
        </w:rPr>
        <w:t>充分梳理国家、市以及行业信息化标准，制定崇明信息化建设标准框架体系</w:t>
      </w:r>
      <w:r>
        <w:rPr>
          <w:rFonts w:hint="eastAsia" w:ascii="仿宋_GB2312" w:hAnsi="仿宋_GB2312" w:eastAsia="仿宋_GB2312"/>
          <w:sz w:val="32"/>
          <w:szCs w:val="32"/>
        </w:rPr>
        <w:t>，以此为基础推进信息化标准试点项目建设，将示范项目成果进行复制性推广。探索信息化领域新标准研究，结合崇明特色需求试点开展区生态大数据标准创新，制定一批术语标准、数据开放共享标准、安全与隐私标准等，促进生态领域数据共享应用。</w:t>
      </w:r>
    </w:p>
    <w:p>
      <w:pPr>
        <w:pStyle w:val="4"/>
        <w:numPr>
          <w:ilvl w:val="1"/>
          <w:numId w:val="14"/>
        </w:numPr>
        <w:spacing w:line="160" w:lineRule="atLeast"/>
        <w:rPr>
          <w:rFonts w:ascii="仿宋_GB2312" w:hAnsi="仿宋_GB2312" w:eastAsia="仿宋_GB2312"/>
          <w:sz w:val="32"/>
          <w:szCs w:val="32"/>
        </w:rPr>
      </w:pPr>
      <w:bookmarkStart w:id="318" w:name="_Toc47451143"/>
      <w:bookmarkStart w:id="319" w:name="_Toc47451034"/>
      <w:r>
        <w:rPr>
          <w:rFonts w:hint="eastAsia" w:ascii="仿宋_GB2312" w:hAnsi="仿宋_GB2312" w:eastAsia="仿宋_GB2312"/>
          <w:sz w:val="32"/>
          <w:szCs w:val="32"/>
        </w:rPr>
        <w:t>强化标准贯彻落实和应用推广</w:t>
      </w:r>
      <w:bookmarkEnd w:id="318"/>
      <w:bookmarkEnd w:id="319"/>
    </w:p>
    <w:p>
      <w:pPr>
        <w:spacing w:line="160" w:lineRule="atLeast"/>
        <w:ind w:firstLine="640" w:firstLineChars="200"/>
        <w:rPr>
          <w:rFonts w:ascii="仿宋_GB2312" w:hAnsi="仿宋_GB2312" w:eastAsia="仿宋_GB2312"/>
          <w:sz w:val="32"/>
          <w:szCs w:val="32"/>
        </w:rPr>
      </w:pPr>
      <w:r>
        <w:rPr>
          <w:rFonts w:hint="eastAsia" w:ascii="仿宋_GB2312" w:hAnsi="仿宋_GB2312" w:eastAsia="仿宋_GB2312"/>
          <w:sz w:val="32"/>
          <w:szCs w:val="32"/>
        </w:rPr>
        <w:t>建立完善标准化主管部门与各应用领域责任单位共同推动信息化标准化应用示范联动机制，积极发挥信息化标准化示范试点项目主体单位在标准推广实施中的示范和带动作用。开展标准符合性测试工作，依托专业标准化组织和标准化检测机构，对城市数字化转型、信息开放共享等重大工程建设的信息化领域开展标准符合性检测工作，提高信息化建设的质量和效益。</w:t>
      </w:r>
    </w:p>
    <w:p>
      <w:pPr>
        <w:pStyle w:val="2"/>
        <w:spacing w:after="0" w:line="160" w:lineRule="atLeast"/>
        <w:rPr>
          <w:rFonts w:ascii="仿宋_GB2312" w:hAnsi="黑体" w:eastAsia="仿宋_GB2312"/>
          <w:sz w:val="32"/>
          <w:szCs w:val="32"/>
        </w:rPr>
      </w:pPr>
      <w:bookmarkStart w:id="320" w:name="_Toc21917147"/>
      <w:bookmarkStart w:id="321" w:name="_Toc47451035"/>
      <w:bookmarkStart w:id="322" w:name="_Toc6627"/>
      <w:bookmarkStart w:id="323" w:name="_Toc58250542"/>
      <w:bookmarkStart w:id="324" w:name="_Toc47450714"/>
      <w:bookmarkStart w:id="325" w:name="_Toc47451144"/>
      <w:bookmarkStart w:id="326" w:name="_Toc47450133"/>
      <w:bookmarkStart w:id="327" w:name="_Toc38801148"/>
      <w:bookmarkStart w:id="328" w:name="_Toc38978008"/>
      <w:r>
        <w:rPr>
          <w:rFonts w:hint="eastAsia" w:ascii="仿宋_GB2312" w:hAnsi="黑体" w:eastAsia="仿宋_GB2312"/>
          <w:sz w:val="32"/>
          <w:szCs w:val="32"/>
        </w:rPr>
        <w:t>九、全面营造健康发展环境</w:t>
      </w:r>
      <w:bookmarkEnd w:id="320"/>
      <w:r>
        <w:rPr>
          <w:rFonts w:hint="eastAsia" w:ascii="仿宋_GB2312" w:hAnsi="黑体" w:eastAsia="仿宋_GB2312"/>
          <w:sz w:val="32"/>
          <w:szCs w:val="32"/>
        </w:rPr>
        <w:t>，有效支撑长远发展</w:t>
      </w:r>
      <w:bookmarkEnd w:id="321"/>
      <w:bookmarkEnd w:id="322"/>
      <w:bookmarkEnd w:id="323"/>
      <w:bookmarkEnd w:id="324"/>
      <w:bookmarkEnd w:id="325"/>
      <w:bookmarkEnd w:id="326"/>
      <w:bookmarkEnd w:id="327"/>
      <w:bookmarkEnd w:id="328"/>
    </w:p>
    <w:p>
      <w:pPr>
        <w:pStyle w:val="3"/>
        <w:spacing w:line="160" w:lineRule="atLeast"/>
        <w:rPr>
          <w:rFonts w:ascii="仿宋_GB2312" w:hAnsi="黑体" w:eastAsia="仿宋_GB2312"/>
          <w:bCs w:val="0"/>
        </w:rPr>
      </w:pPr>
      <w:bookmarkStart w:id="329" w:name="_Toc47450134"/>
      <w:bookmarkStart w:id="330" w:name="_Toc21917148"/>
      <w:bookmarkStart w:id="331" w:name="_Toc47451145"/>
      <w:bookmarkStart w:id="332" w:name="_Toc58250543"/>
      <w:bookmarkStart w:id="333" w:name="_Toc38801149"/>
      <w:bookmarkStart w:id="334" w:name="_Toc47450715"/>
      <w:bookmarkStart w:id="335" w:name="_Toc38978009"/>
      <w:bookmarkStart w:id="336" w:name="_Toc47451036"/>
      <w:bookmarkStart w:id="337" w:name="_Toc31868"/>
      <w:r>
        <w:rPr>
          <w:rFonts w:hint="eastAsia" w:ascii="仿宋_GB2312" w:hAnsi="黑体" w:eastAsia="仿宋_GB2312"/>
          <w:bCs w:val="0"/>
        </w:rPr>
        <w:t>（一）完善组织实施体系</w:t>
      </w:r>
      <w:bookmarkEnd w:id="329"/>
      <w:bookmarkEnd w:id="330"/>
      <w:bookmarkEnd w:id="331"/>
      <w:bookmarkEnd w:id="332"/>
      <w:bookmarkEnd w:id="333"/>
      <w:bookmarkEnd w:id="334"/>
      <w:bookmarkEnd w:id="335"/>
      <w:bookmarkEnd w:id="336"/>
      <w:bookmarkEnd w:id="337"/>
    </w:p>
    <w:p>
      <w:pPr>
        <w:pStyle w:val="3"/>
        <w:spacing w:line="160" w:lineRule="atLeast"/>
        <w:ind w:firstLine="640" w:firstLineChars="200"/>
        <w:rPr>
          <w:rFonts w:ascii="仿宋_GB2312" w:hAnsi="仿宋_GB2312" w:eastAsia="仿宋_GB2312"/>
          <w:b w:val="0"/>
          <w:bCs w:val="0"/>
        </w:rPr>
      </w:pPr>
      <w:r>
        <w:rPr>
          <w:rFonts w:hint="eastAsia" w:ascii="仿宋_GB2312" w:hAnsi="仿宋_GB2312" w:eastAsia="仿宋_GB2312"/>
          <w:b w:val="0"/>
          <w:bCs w:val="0"/>
        </w:rPr>
        <w:t>在上海市数字化转型领导小组统一领导下，加强宏观指导，统筹规划、统一部署、协调推进“智慧崇明”建设。增强区智慧城市领导小组统筹协调功能，进一步健全机制，明确分工。在政务服务、城市运行、数据治理、信息基础等重点领域设立专项工作组，由分管区领导担任组长，牵头协调推进各领域跨部门、跨层级信息化工作。充分发挥领导小组办公室统筹协调和服务枢纽功能，做好规划制定、项目组织、统计评估等工作，并加强对各乡镇指导。</w:t>
      </w:r>
      <w:bookmarkStart w:id="338" w:name="_Toc47451037"/>
      <w:bookmarkStart w:id="339" w:name="_Toc47451146"/>
      <w:bookmarkStart w:id="340" w:name="_Toc58250544"/>
      <w:bookmarkStart w:id="341" w:name="_Toc38978010"/>
      <w:bookmarkStart w:id="342" w:name="_Toc47450135"/>
      <w:bookmarkStart w:id="343" w:name="_Toc7876"/>
      <w:bookmarkStart w:id="344" w:name="_Toc47450716"/>
    </w:p>
    <w:p>
      <w:pPr>
        <w:pStyle w:val="3"/>
        <w:spacing w:line="160" w:lineRule="atLeast"/>
        <w:rPr>
          <w:rFonts w:ascii="仿宋_GB2312" w:hAnsi="黑体" w:eastAsia="仿宋_GB2312"/>
          <w:bCs w:val="0"/>
        </w:rPr>
      </w:pPr>
      <w:r>
        <w:rPr>
          <w:rFonts w:hint="eastAsia" w:ascii="仿宋_GB2312" w:hAnsi="黑体" w:eastAsia="仿宋_GB2312"/>
          <w:bCs w:val="0"/>
        </w:rPr>
        <w:t>（二）优化项目管理机制</w:t>
      </w:r>
      <w:bookmarkEnd w:id="338"/>
      <w:bookmarkEnd w:id="339"/>
      <w:bookmarkEnd w:id="340"/>
      <w:bookmarkEnd w:id="341"/>
      <w:bookmarkEnd w:id="342"/>
      <w:bookmarkEnd w:id="343"/>
      <w:bookmarkEnd w:id="344"/>
    </w:p>
    <w:p>
      <w:pPr>
        <w:spacing w:line="160" w:lineRule="atLeast"/>
        <w:ind w:firstLine="640" w:firstLineChars="200"/>
        <w:rPr>
          <w:rFonts w:ascii="仿宋_GB2312" w:hAnsi="仿宋_GB2312" w:eastAsia="仿宋_GB2312" w:cstheme="majorBidi"/>
          <w:sz w:val="32"/>
          <w:szCs w:val="32"/>
        </w:rPr>
      </w:pPr>
      <w:r>
        <w:rPr>
          <w:rFonts w:hint="eastAsia" w:ascii="仿宋_GB2312" w:hAnsi="仿宋_GB2312" w:eastAsia="仿宋_GB2312" w:cstheme="majorBidi"/>
          <w:sz w:val="32"/>
          <w:szCs w:val="32"/>
        </w:rPr>
        <w:t>实施信息化项目精细化管理，分级分类推进信息化建设。针对快速迭代场景化项目试点项目备案制，缩短前期申报审批流程。增加项目预选过程，由信息化指导部门提前介入各</w:t>
      </w:r>
      <w:r>
        <w:rPr>
          <w:rFonts w:hint="eastAsia" w:ascii="仿宋_GB2312" w:eastAsia="仿宋_GB2312"/>
          <w:sz w:val="32"/>
          <w:szCs w:val="32"/>
        </w:rPr>
        <w:t>委办局信息系统建设，做好全区信息系统的统筹规划和实施安排。</w:t>
      </w:r>
      <w:r>
        <w:rPr>
          <w:rFonts w:hint="eastAsia" w:ascii="仿宋_GB2312" w:hAnsi="仿宋_GB2312" w:eastAsia="仿宋_GB2312" w:cstheme="majorBidi"/>
          <w:sz w:val="32"/>
          <w:szCs w:val="32"/>
        </w:rPr>
        <w:t>引入第三方机构动态跟进规划落实情况，对项目申报计划落实情况和建设应用成效进行量化评估，形成动态调整和约束联动机制，提升项目建设质量和应用效益。</w:t>
      </w:r>
    </w:p>
    <w:p>
      <w:pPr>
        <w:pStyle w:val="3"/>
        <w:spacing w:line="160" w:lineRule="atLeast"/>
        <w:rPr>
          <w:rFonts w:ascii="仿宋_GB2312" w:hAnsi="黑体" w:eastAsia="仿宋_GB2312"/>
          <w:bCs w:val="0"/>
        </w:rPr>
      </w:pPr>
      <w:bookmarkStart w:id="345" w:name="_Toc58250545"/>
      <w:bookmarkStart w:id="346" w:name="_Toc47451038"/>
      <w:bookmarkStart w:id="347" w:name="_Toc38978011"/>
      <w:bookmarkStart w:id="348" w:name="_Toc47451147"/>
      <w:bookmarkStart w:id="349" w:name="_Toc47450136"/>
      <w:bookmarkStart w:id="350" w:name="_Toc30051"/>
      <w:bookmarkStart w:id="351" w:name="_Toc47450717"/>
      <w:r>
        <w:rPr>
          <w:rFonts w:hint="eastAsia" w:ascii="仿宋_GB2312" w:hAnsi="黑体" w:eastAsia="仿宋_GB2312"/>
          <w:bCs w:val="0"/>
        </w:rPr>
        <w:t>（三）提高资金使用绩效</w:t>
      </w:r>
      <w:bookmarkEnd w:id="345"/>
      <w:bookmarkEnd w:id="346"/>
      <w:bookmarkEnd w:id="347"/>
      <w:bookmarkEnd w:id="348"/>
      <w:bookmarkEnd w:id="349"/>
      <w:bookmarkEnd w:id="350"/>
      <w:bookmarkEnd w:id="351"/>
    </w:p>
    <w:p>
      <w:pPr>
        <w:widowControl/>
        <w:spacing w:line="160" w:lineRule="atLeast"/>
        <w:ind w:firstLine="640" w:firstLineChars="200"/>
        <w:rPr>
          <w:rFonts w:ascii="仿宋_GB2312" w:hAnsi="仿宋" w:eastAsia="仿宋_GB2312" w:cs="微软雅黑"/>
          <w:sz w:val="32"/>
          <w:szCs w:val="32"/>
          <w:shd w:val="clear" w:color="auto" w:fill="FFFFFF"/>
        </w:rPr>
      </w:pPr>
      <w:r>
        <w:rPr>
          <w:rFonts w:hint="eastAsia" w:ascii="仿宋_GB2312" w:hAnsi="仿宋" w:eastAsia="仿宋_GB2312" w:cs="微软雅黑"/>
          <w:sz w:val="32"/>
          <w:szCs w:val="32"/>
          <w:shd w:val="clear" w:color="auto" w:fill="FFFFFF"/>
        </w:rPr>
        <w:t>严格落实全面预算绩效管理要求，加大对信息化项目的</w:t>
      </w:r>
      <w:r>
        <w:rPr>
          <w:rFonts w:hint="eastAsia" w:ascii="仿宋_GB2312" w:hAnsi="仿宋" w:eastAsia="仿宋_GB2312" w:cs="微软雅黑"/>
          <w:color w:val="FF0000"/>
          <w:sz w:val="32"/>
          <w:szCs w:val="32"/>
          <w:shd w:val="clear" w:color="auto" w:fill="FFFFFF"/>
        </w:rPr>
        <w:t>前评审力度</w:t>
      </w:r>
      <w:r>
        <w:rPr>
          <w:rFonts w:hint="eastAsia" w:ascii="仿宋_GB2312" w:hAnsi="仿宋" w:eastAsia="仿宋_GB2312" w:cs="微软雅黑"/>
          <w:sz w:val="32"/>
          <w:szCs w:val="32"/>
          <w:shd w:val="clear" w:color="auto" w:fill="FFFFFF"/>
        </w:rPr>
        <w:t>，切实提高信息化项目财政资金使用绩效。优先支持基础性、公益性、关键性项目和跨部门协同共享项目，鼓励和吸引社会资本参与信息化建设，提升信息化投资、建设和运营效能。</w:t>
      </w:r>
      <w:bookmarkStart w:id="352" w:name="_Toc47450137"/>
      <w:bookmarkStart w:id="353" w:name="_Toc47451039"/>
      <w:bookmarkStart w:id="354" w:name="_Toc38978012"/>
      <w:bookmarkStart w:id="355" w:name="_Toc47451148"/>
      <w:bookmarkStart w:id="356" w:name="_Toc47450718"/>
    </w:p>
    <w:p>
      <w:pPr>
        <w:pStyle w:val="3"/>
        <w:spacing w:line="160" w:lineRule="atLeast"/>
        <w:rPr>
          <w:rFonts w:ascii="仿宋_GB2312" w:hAnsi="黑体" w:eastAsia="仿宋_GB2312"/>
          <w:bCs w:val="0"/>
        </w:rPr>
      </w:pPr>
      <w:bookmarkStart w:id="357" w:name="_Toc58250546"/>
      <w:bookmarkStart w:id="358" w:name="_Toc9745"/>
      <w:r>
        <w:rPr>
          <w:rFonts w:hint="eastAsia" w:ascii="仿宋_GB2312" w:hAnsi="黑体" w:eastAsia="仿宋_GB2312"/>
          <w:bCs w:val="0"/>
        </w:rPr>
        <w:t>（四）强化考核评价机制</w:t>
      </w:r>
      <w:bookmarkEnd w:id="352"/>
      <w:bookmarkEnd w:id="353"/>
      <w:bookmarkEnd w:id="354"/>
      <w:bookmarkEnd w:id="355"/>
      <w:bookmarkEnd w:id="356"/>
      <w:bookmarkEnd w:id="357"/>
      <w:bookmarkEnd w:id="358"/>
    </w:p>
    <w:p>
      <w:pPr>
        <w:widowControl/>
        <w:spacing w:line="160" w:lineRule="atLeast"/>
        <w:ind w:firstLine="640" w:firstLineChars="200"/>
        <w:rPr>
          <w:rFonts w:ascii="仿宋_GB2312" w:hAnsi="仿宋" w:eastAsia="仿宋_GB2312" w:cs="微软雅黑"/>
          <w:sz w:val="32"/>
          <w:szCs w:val="32"/>
          <w:shd w:val="clear" w:color="auto" w:fill="FFFFFF"/>
        </w:rPr>
      </w:pPr>
      <w:r>
        <w:rPr>
          <w:rFonts w:hint="eastAsia" w:ascii="仿宋_GB2312" w:hAnsi="仿宋" w:eastAsia="仿宋_GB2312" w:cs="微软雅黑"/>
          <w:sz w:val="32"/>
          <w:szCs w:val="32"/>
          <w:shd w:val="clear" w:color="auto" w:fill="FFFFFF"/>
        </w:rPr>
        <w:t>对各单位应用系统建设、数据资源共享等任务分工落实情况等进行考核评估，纳入年度绩效考核，作为信息化项目申报批复的重要依据。以国家新型智慧城市评价体系为基础，定期对全区各领域信息化发展水平开展评估，并对评估结果进行横向和纵向的比较分析，以评促建、以评促管、以评促用、以评促改，强化项目的事前、事中、事后绩效评价，为信息化发展决策提供有力支持。</w:t>
      </w:r>
    </w:p>
    <w:p>
      <w:pPr>
        <w:pStyle w:val="3"/>
        <w:spacing w:line="160" w:lineRule="atLeast"/>
        <w:rPr>
          <w:rFonts w:ascii="仿宋_GB2312" w:hAnsi="黑体" w:eastAsia="仿宋_GB2312"/>
          <w:bCs w:val="0"/>
        </w:rPr>
      </w:pPr>
      <w:bookmarkStart w:id="359" w:name="_Toc38801152"/>
      <w:bookmarkStart w:id="360" w:name="_Toc21917151"/>
      <w:bookmarkStart w:id="361" w:name="_Toc38978013"/>
      <w:bookmarkStart w:id="362" w:name="_Toc28563"/>
      <w:bookmarkStart w:id="363" w:name="_Toc47450719"/>
      <w:bookmarkStart w:id="364" w:name="_Toc58250547"/>
      <w:bookmarkStart w:id="365" w:name="_Toc47451149"/>
      <w:bookmarkStart w:id="366" w:name="_Toc47451040"/>
      <w:bookmarkStart w:id="367" w:name="_Toc47450138"/>
      <w:r>
        <w:rPr>
          <w:rFonts w:hint="eastAsia" w:ascii="仿宋_GB2312" w:hAnsi="黑体" w:eastAsia="仿宋_GB2312"/>
          <w:bCs w:val="0"/>
        </w:rPr>
        <w:t>（五）加大</w:t>
      </w:r>
      <w:bookmarkEnd w:id="359"/>
      <w:bookmarkEnd w:id="360"/>
      <w:r>
        <w:rPr>
          <w:rFonts w:hint="eastAsia" w:ascii="仿宋_GB2312" w:hAnsi="黑体" w:eastAsia="仿宋_GB2312"/>
          <w:bCs w:val="0"/>
        </w:rPr>
        <w:t>人才培训合作</w:t>
      </w:r>
      <w:bookmarkEnd w:id="361"/>
      <w:bookmarkEnd w:id="362"/>
      <w:bookmarkEnd w:id="363"/>
      <w:bookmarkEnd w:id="364"/>
      <w:bookmarkEnd w:id="365"/>
      <w:bookmarkEnd w:id="366"/>
      <w:bookmarkEnd w:id="367"/>
    </w:p>
    <w:p>
      <w:pPr>
        <w:widowControl/>
        <w:spacing w:line="160" w:lineRule="atLeast"/>
        <w:ind w:firstLine="640" w:firstLineChars="200"/>
        <w:rPr>
          <w:rFonts w:ascii="仿宋_GB2312" w:hAnsi="仿宋" w:eastAsia="仿宋_GB2312" w:cs="微软雅黑"/>
          <w:sz w:val="28"/>
          <w:szCs w:val="28"/>
          <w:shd w:val="clear" w:color="auto" w:fill="FFFFFF"/>
        </w:rPr>
      </w:pPr>
      <w:r>
        <w:rPr>
          <w:rFonts w:hint="eastAsia" w:ascii="仿宋_GB2312" w:hAnsi="仿宋" w:eastAsia="仿宋_GB2312" w:cs="微软雅黑"/>
          <w:sz w:val="32"/>
          <w:szCs w:val="32"/>
          <w:shd w:val="clear" w:color="auto" w:fill="FFFFFF"/>
        </w:rPr>
        <w:t>建立适应信息化发展需要的人才评价制度和激励机制，探索建立信息化领域科研成果和知识产权归属、利益分配机制，充分运用国家及上海“千人计划”等支持政策，加速云计算、大数据等信息化领域人才培养和就业，吸引信息化高端人才集聚，为崇明建设数字政府、数字社会和数字经济提供专业人才支撑。深化政府、科研院所、企业合作，支持企业参与大数据等新一代信息技术国际标准创制，鼓励企事业单位、科研院所加强与国际科研学术机构交流合作，基于人才培养中心能力融合，通过创新发展合作联盟、建设实训基地、开设跨校课程、引入高校讲师等多种模式，开展人才交流、联合设立实验室</w:t>
      </w:r>
      <w:bookmarkStart w:id="368" w:name="_Hlk51596866"/>
      <w:r>
        <w:rPr>
          <w:rFonts w:hint="eastAsia" w:ascii="仿宋_GB2312" w:hAnsi="仿宋" w:eastAsia="仿宋_GB2312" w:cs="微软雅黑"/>
          <w:sz w:val="32"/>
          <w:szCs w:val="32"/>
          <w:shd w:val="clear" w:color="auto" w:fill="FFFFFF"/>
        </w:rPr>
        <w:t>、实训和定向培养基地</w:t>
      </w:r>
      <w:bookmarkEnd w:id="368"/>
      <w:r>
        <w:rPr>
          <w:rFonts w:hint="eastAsia" w:ascii="仿宋_GB2312" w:hAnsi="仿宋" w:eastAsia="仿宋_GB2312" w:cs="微软雅黑"/>
          <w:sz w:val="32"/>
          <w:szCs w:val="32"/>
          <w:shd w:val="clear" w:color="auto" w:fill="FFFFFF"/>
        </w:rPr>
        <w:t>等活动</w:t>
      </w:r>
      <w:bookmarkStart w:id="369" w:name="_Hlk51596876"/>
      <w:r>
        <w:rPr>
          <w:rFonts w:hint="eastAsia" w:ascii="仿宋_GB2312" w:hAnsi="仿宋" w:eastAsia="仿宋_GB2312" w:cs="微软雅黑"/>
          <w:sz w:val="32"/>
          <w:szCs w:val="32"/>
          <w:shd w:val="clear" w:color="auto" w:fill="FFFFFF"/>
        </w:rPr>
        <w:t>，形成“产学研用”协同推进的人才培养体系，全面激发崇明人才活力。</w:t>
      </w:r>
      <w:bookmarkEnd w:id="369"/>
    </w:p>
    <w:p>
      <w:pPr>
        <w:spacing w:line="560" w:lineRule="exact"/>
        <w:rPr>
          <w:rFonts w:ascii="仿宋_GB2312" w:hAnsi="仿宋_GB2312" w:eastAsia="仿宋_GB2312" w:cs="仿宋_GB2312"/>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9"/>
        <w:rPr>
          <w:rFonts w:ascii="仿宋_GB2312" w:eastAsia="仿宋_GB2312"/>
        </w:rPr>
      </w:pPr>
      <w:r>
        <w:rPr>
          <w:rStyle w:val="14"/>
          <w:rFonts w:hint="eastAsia" w:ascii="仿宋_GB2312" w:eastAsia="仿宋_GB2312"/>
        </w:rPr>
        <w:footnoteRef/>
      </w:r>
      <w:r>
        <w:rPr>
          <w:rFonts w:hint="eastAsia" w:ascii="仿宋_GB2312" w:eastAsia="仿宋_GB2312"/>
        </w:rPr>
        <w:t>《关于上海市崇明区城市运行“一网统管”工作的情况报告》崇明区城市网格化综合管理中心</w:t>
      </w:r>
    </w:p>
  </w:footnote>
  <w:footnote w:id="1">
    <w:p>
      <w:pPr>
        <w:pStyle w:val="9"/>
      </w:pPr>
      <w:r>
        <w:rPr>
          <w:rStyle w:val="14"/>
          <w:rFonts w:hint="eastAsia" w:ascii="仿宋_GB2312" w:eastAsia="仿宋_GB2312"/>
        </w:rPr>
        <w:footnoteRef/>
      </w:r>
      <w:r>
        <w:rPr>
          <w:rFonts w:hint="eastAsia" w:ascii="仿宋_GB2312" w:eastAsia="仿宋_GB2312"/>
        </w:rPr>
        <w:t>《2019年智慧城市建设情况及2020年重点工作计划》</w:t>
      </w:r>
    </w:p>
  </w:footnote>
  <w:footnote w:id="2">
    <w:p>
      <w:pPr>
        <w:pStyle w:val="9"/>
      </w:pPr>
      <w:r>
        <w:rPr>
          <w:rStyle w:val="14"/>
        </w:rPr>
        <w:footnoteRef/>
      </w:r>
      <w:r>
        <w:t xml:space="preserve"> </w:t>
      </w:r>
      <w:r>
        <w:rPr>
          <w:rFonts w:hint="eastAsia" w:ascii="仿宋" w:hAnsi="仿宋" w:eastAsia="仿宋"/>
        </w:rPr>
        <w:t>公交智能化平台包括行业监管、公交设施管理、信息发布、巴士公司管理等模块</w:t>
      </w:r>
    </w:p>
  </w:footnote>
  <w:footnote w:id="3">
    <w:p>
      <w:pPr>
        <w:pStyle w:val="9"/>
      </w:pPr>
      <w:r>
        <w:rPr>
          <w:rStyle w:val="14"/>
        </w:rPr>
        <w:footnoteRef/>
      </w:r>
      <w:r>
        <w:t xml:space="preserve"> </w:t>
      </w:r>
      <w:r>
        <w:rPr>
          <w:rFonts w:hint="eastAsia" w:ascii="仿宋" w:hAnsi="仿宋" w:eastAsia="仿宋"/>
        </w:rPr>
        <w:t>原崇明区事中事后综合监管平台</w:t>
      </w:r>
    </w:p>
  </w:footnote>
  <w:footnote w:id="4">
    <w:p>
      <w:pPr>
        <w:pStyle w:val="9"/>
        <w:rPr>
          <w:rFonts w:ascii="仿宋" w:hAnsi="仿宋" w:eastAsia="仿宋"/>
        </w:rPr>
      </w:pPr>
      <w:r>
        <w:rPr>
          <w:rStyle w:val="14"/>
        </w:rPr>
        <w:footnoteRef/>
      </w:r>
      <w:r>
        <w:t xml:space="preserve"> </w:t>
      </w:r>
      <w:r>
        <w:rPr>
          <w:rFonts w:hint="eastAsia" w:ascii="仿宋" w:hAnsi="仿宋" w:eastAsia="仿宋"/>
        </w:rPr>
        <w:t>统一整合与集中处理各社区卫生服务中心、医疗单位的临床诊疗和健康档案数据</w:t>
      </w:r>
    </w:p>
  </w:footnote>
  <w:footnote w:id="5">
    <w:p>
      <w:pPr>
        <w:pStyle w:val="9"/>
        <w:rPr>
          <w:rFonts w:ascii="仿宋" w:hAnsi="仿宋" w:eastAsia="仿宋"/>
        </w:rPr>
      </w:pPr>
      <w:r>
        <w:rPr>
          <w:rStyle w:val="14"/>
        </w:rPr>
        <w:footnoteRef/>
      </w:r>
      <w:r>
        <w:t xml:space="preserve"> </w:t>
      </w:r>
      <w:r>
        <w:rPr>
          <w:rFonts w:hint="eastAsia" w:ascii="仿宋" w:hAnsi="仿宋" w:eastAsia="仿宋"/>
        </w:rPr>
        <w:t>该项目涵盖了崇明区网上数字图书馆建设</w:t>
      </w:r>
    </w:p>
  </w:footnote>
  <w:footnote w:id="6">
    <w:p>
      <w:pPr>
        <w:pStyle w:val="9"/>
        <w:rPr>
          <w:rFonts w:ascii="仿宋_GB2312" w:eastAsia="仿宋_GB2312"/>
        </w:rPr>
      </w:pPr>
      <w:r>
        <w:rPr>
          <w:rStyle w:val="14"/>
          <w:rFonts w:hint="eastAsia" w:ascii="仿宋_GB2312" w:eastAsia="仿宋_GB2312"/>
        </w:rPr>
        <w:footnoteRef/>
      </w:r>
      <w:r>
        <w:rPr>
          <w:rFonts w:hint="eastAsia" w:ascii="仿宋_GB2312" w:eastAsia="仿宋_GB2312"/>
        </w:rPr>
        <w:t>《上海市崇明区政务服务“一网通办”白皮书（2</w:t>
      </w:r>
      <w:r>
        <w:rPr>
          <w:rFonts w:ascii="仿宋_GB2312" w:eastAsia="仿宋_GB2312"/>
        </w:rPr>
        <w:t>019-2020）</w:t>
      </w:r>
      <w:r>
        <w:rPr>
          <w:rFonts w:hint="eastAsia" w:ascii="仿宋_GB2312" w:eastAsia="仿宋_GB2312"/>
        </w:rPr>
        <w:t>》</w:t>
      </w:r>
    </w:p>
  </w:footnote>
  <w:footnote w:id="7">
    <w:p>
      <w:pPr>
        <w:pStyle w:val="9"/>
      </w:pPr>
      <w:r>
        <w:rPr>
          <w:rStyle w:val="14"/>
          <w:rFonts w:hint="eastAsia"/>
        </w:rPr>
        <w:footnoteRef/>
      </w:r>
      <w:r>
        <w:rPr>
          <w:rFonts w:hint="eastAsia"/>
        </w:rPr>
        <w:t xml:space="preserve"> “1”表示一站式云展示、云阅读、云采购、云体验；“X”表示农产品、农村食品、休闲农业、农业体验等领域专业化新经济企业平台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56274"/>
    <w:multiLevelType w:val="multilevel"/>
    <w:tmpl w:val="3DD56274"/>
    <w:lvl w:ilvl="0" w:tentative="0">
      <w:start w:val="1"/>
      <w:numFmt w:val="decimal"/>
      <w:lvlText w:val="%1"/>
      <w:lvlJc w:val="left"/>
      <w:pPr>
        <w:ind w:left="1265" w:hanging="425"/>
      </w:pPr>
    </w:lvl>
    <w:lvl w:ilvl="1" w:tentative="0">
      <w:start w:val="1"/>
      <w:numFmt w:val="decimal"/>
      <w:pStyle w:val="4"/>
      <w:lvlText w:val="%2."/>
      <w:lvlJc w:val="left"/>
      <w:pPr>
        <w:ind w:left="567" w:hanging="567"/>
      </w:pPr>
      <w:rPr>
        <w:rFonts w:hint="default" w:ascii="Times New Roman" w:hAnsi="Times New Roman" w:eastAsia="仿宋_GB2312"/>
        <w:b/>
        <w:caps w:val="0"/>
        <w:strike w:val="0"/>
        <w:dstrike w:val="0"/>
        <w:snapToGrid w:val="0"/>
        <w:vanish w:val="0"/>
        <w:kern w:val="0"/>
        <w:vertAlign w:val="baseline"/>
      </w:rPr>
    </w:lvl>
    <w:lvl w:ilvl="2" w:tentative="0">
      <w:start w:val="1"/>
      <w:numFmt w:val="decimal"/>
      <w:lvlText w:val="%1.%2.%3"/>
      <w:lvlJc w:val="left"/>
      <w:pPr>
        <w:ind w:left="2258" w:hanging="567"/>
      </w:pPr>
    </w:lvl>
    <w:lvl w:ilvl="3" w:tentative="0">
      <w:start w:val="1"/>
      <w:numFmt w:val="decimal"/>
      <w:lvlText w:val="%1.%2.%3.%4"/>
      <w:lvlJc w:val="left"/>
      <w:pPr>
        <w:ind w:left="2824" w:hanging="708"/>
      </w:pPr>
    </w:lvl>
    <w:lvl w:ilvl="4" w:tentative="0">
      <w:start w:val="1"/>
      <w:numFmt w:val="decimal"/>
      <w:lvlText w:val="%1.%2.%3.%4.%5"/>
      <w:lvlJc w:val="left"/>
      <w:pPr>
        <w:ind w:left="3391" w:hanging="850"/>
      </w:pPr>
    </w:lvl>
    <w:lvl w:ilvl="5" w:tentative="0">
      <w:start w:val="1"/>
      <w:numFmt w:val="decimal"/>
      <w:lvlText w:val="%1.%2.%3.%4.%5.%6"/>
      <w:lvlJc w:val="left"/>
      <w:pPr>
        <w:ind w:left="4100" w:hanging="1134"/>
      </w:pPr>
    </w:lvl>
    <w:lvl w:ilvl="6" w:tentative="0">
      <w:start w:val="1"/>
      <w:numFmt w:val="decimal"/>
      <w:lvlText w:val="%1.%2.%3.%4.%5.%6.%7"/>
      <w:lvlJc w:val="left"/>
      <w:pPr>
        <w:ind w:left="4667" w:hanging="1276"/>
      </w:pPr>
    </w:lvl>
    <w:lvl w:ilvl="7" w:tentative="0">
      <w:start w:val="1"/>
      <w:numFmt w:val="decimal"/>
      <w:lvlText w:val="%1.%2.%3.%4.%5.%6.%7.%8"/>
      <w:lvlJc w:val="left"/>
      <w:pPr>
        <w:ind w:left="5234" w:hanging="1418"/>
      </w:pPr>
    </w:lvl>
    <w:lvl w:ilvl="8" w:tentative="0">
      <w:start w:val="1"/>
      <w:numFmt w:val="decimal"/>
      <w:lvlText w:val="%1.%2.%3.%4.%5.%6.%7.%8.%9"/>
      <w:lvlJc w:val="left"/>
      <w:pPr>
        <w:ind w:left="594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15"/>
    <w:rsid w:val="000A5DCD"/>
    <w:rsid w:val="001A2F56"/>
    <w:rsid w:val="00396F15"/>
    <w:rsid w:val="003C304C"/>
    <w:rsid w:val="00BF6763"/>
    <w:rsid w:val="00CD3EE1"/>
    <w:rsid w:val="092A6F4C"/>
    <w:rsid w:val="0BBE43C1"/>
    <w:rsid w:val="0C614DDB"/>
    <w:rsid w:val="0D510F0E"/>
    <w:rsid w:val="13BD3455"/>
    <w:rsid w:val="13E171D4"/>
    <w:rsid w:val="1C1C253F"/>
    <w:rsid w:val="20E0691F"/>
    <w:rsid w:val="21B456C0"/>
    <w:rsid w:val="23853580"/>
    <w:rsid w:val="27BA1BD2"/>
    <w:rsid w:val="28F33DB9"/>
    <w:rsid w:val="29E02729"/>
    <w:rsid w:val="2EBA633C"/>
    <w:rsid w:val="305E55A0"/>
    <w:rsid w:val="3FD77872"/>
    <w:rsid w:val="40174989"/>
    <w:rsid w:val="42876821"/>
    <w:rsid w:val="42C15D65"/>
    <w:rsid w:val="45201C92"/>
    <w:rsid w:val="46711162"/>
    <w:rsid w:val="4B5870E9"/>
    <w:rsid w:val="4F2C0143"/>
    <w:rsid w:val="514E2491"/>
    <w:rsid w:val="57140F73"/>
    <w:rsid w:val="5CD659C8"/>
    <w:rsid w:val="5E2D2F38"/>
    <w:rsid w:val="65660591"/>
    <w:rsid w:val="6AF01996"/>
    <w:rsid w:val="6F393E3D"/>
    <w:rsid w:val="71154D6C"/>
    <w:rsid w:val="736D1EA4"/>
    <w:rsid w:val="78D61BC5"/>
    <w:rsid w:val="79633BC1"/>
    <w:rsid w:val="7B507696"/>
    <w:rsid w:val="7BAE3893"/>
    <w:rsid w:val="7CCF75EF"/>
    <w:rsid w:val="7ED03457"/>
    <w:rsid w:val="7FC2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1"/>
    <w:pPr>
      <w:numPr>
        <w:ilvl w:val="1"/>
        <w:numId w:val="1"/>
      </w:numPr>
      <w:tabs>
        <w:tab w:val="left" w:pos="861"/>
      </w:tabs>
      <w:kinsoku w:val="0"/>
      <w:overflowPunct w:val="0"/>
      <w:spacing w:line="360" w:lineRule="auto"/>
      <w:outlineLvl w:val="2"/>
    </w:pPr>
    <w:rPr>
      <w:rFonts w:ascii="黑体" w:eastAsia="黑体" w:cs="黑体"/>
      <w:b/>
      <w:bCs/>
      <w:spacing w:val="-2"/>
      <w:sz w:val="30"/>
      <w:szCs w:val="30"/>
    </w:rPr>
  </w:style>
  <w:style w:type="character" w:default="1" w:styleId="12">
    <w:name w:val="Default Paragraph Font"/>
    <w:semiHidden/>
    <w:unhideWhenUsed/>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styleId="5">
    <w:name w:val="Balloon Text"/>
    <w:basedOn w:val="1"/>
    <w:link w:val="18"/>
    <w:qFormat/>
    <w:uiPriority w:val="0"/>
    <w:rPr>
      <w:sz w:val="18"/>
      <w:szCs w:val="18"/>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296"/>
      </w:tabs>
      <w:spacing w:before="120"/>
    </w:pPr>
    <w:rPr>
      <w:rFonts w:eastAsia="黑体" w:cstheme="minorHAnsi"/>
      <w:b/>
      <w:bCs/>
      <w:caps/>
      <w:sz w:val="28"/>
      <w:szCs w:val="20"/>
    </w:rPr>
  </w:style>
  <w:style w:type="paragraph" w:styleId="9">
    <w:name w:val="footnote text"/>
    <w:basedOn w:val="1"/>
    <w:unhideWhenUsed/>
    <w:qFormat/>
    <w:uiPriority w:val="99"/>
    <w:pPr>
      <w:snapToGrid w:val="0"/>
    </w:pPr>
    <w:rPr>
      <w:sz w:val="18"/>
      <w:szCs w:val="18"/>
    </w:rPr>
  </w:style>
  <w:style w:type="paragraph" w:styleId="10">
    <w:name w:val="toc 2"/>
    <w:basedOn w:val="1"/>
    <w:next w:val="1"/>
    <w:unhideWhenUsed/>
    <w:qFormat/>
    <w:uiPriority w:val="39"/>
    <w:pPr>
      <w:ind w:left="240"/>
    </w:pPr>
    <w:rPr>
      <w:rFonts w:eastAsia="楷体_GB2312" w:cstheme="minorHAnsi"/>
      <w:smallCaps/>
      <w:sz w:val="28"/>
      <w:szCs w:val="20"/>
    </w:rPr>
  </w:style>
  <w:style w:type="paragraph" w:styleId="11">
    <w:name w:val="Normal (Web)"/>
    <w:basedOn w:val="1"/>
    <w:qFormat/>
    <w:uiPriority w:val="0"/>
    <w:pPr>
      <w:spacing w:beforeAutospacing="1" w:afterAutospacing="1"/>
      <w:jc w:val="left"/>
    </w:pPr>
    <w:rPr>
      <w:rFonts w:cs="Times New Roman"/>
      <w:kern w:val="0"/>
      <w:sz w:val="24"/>
    </w:rPr>
  </w:style>
  <w:style w:type="character" w:styleId="13">
    <w:name w:val="Hyperlink"/>
    <w:basedOn w:val="12"/>
    <w:qFormat/>
    <w:uiPriority w:val="0"/>
    <w:rPr>
      <w:color w:val="0000FF"/>
      <w:u w:val="single"/>
    </w:rPr>
  </w:style>
  <w:style w:type="character" w:styleId="14">
    <w:name w:val="footnote reference"/>
    <w:basedOn w:val="12"/>
    <w:semiHidden/>
    <w:unhideWhenUsed/>
    <w:qFormat/>
    <w:uiPriority w:val="99"/>
    <w:rPr>
      <w:vertAlign w:val="superscript"/>
    </w:rPr>
  </w:style>
  <w:style w:type="paragraph" w:styleId="16">
    <w:name w:val="No Spacing"/>
    <w:qFormat/>
    <w:uiPriority w:val="1"/>
    <w:pPr>
      <w:widowControl w:val="0"/>
      <w:autoSpaceDE w:val="0"/>
      <w:autoSpaceDN w:val="0"/>
      <w:adjustRightInd w:val="0"/>
    </w:pPr>
    <w:rPr>
      <w:rFonts w:ascii="仿宋" w:hAnsi="Times New Roman" w:eastAsia="仿宋" w:cs="仿宋"/>
      <w:sz w:val="24"/>
      <w:szCs w:val="24"/>
      <w:lang w:val="en-US" w:eastAsia="zh-CN" w:bidi="ar-SA"/>
    </w:rPr>
  </w:style>
  <w:style w:type="character" w:customStyle="1" w:styleId="17">
    <w:name w:val="页眉 Char"/>
    <w:basedOn w:val="12"/>
    <w:link w:val="7"/>
    <w:qFormat/>
    <w:uiPriority w:val="0"/>
    <w:rPr>
      <w:rFonts w:asciiTheme="minorHAnsi" w:hAnsiTheme="minorHAnsi" w:eastAsiaTheme="minorEastAsia" w:cstheme="minorBidi"/>
      <w:kern w:val="2"/>
      <w:sz w:val="18"/>
      <w:szCs w:val="18"/>
    </w:rPr>
  </w:style>
  <w:style w:type="character" w:customStyle="1" w:styleId="18">
    <w:name w:val="批注框文本 Char"/>
    <w:basedOn w:val="12"/>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61</Pages>
  <Words>4804</Words>
  <Characters>27389</Characters>
  <Lines>228</Lines>
  <Paragraphs>64</Paragraphs>
  <TotalTime>3</TotalTime>
  <ScaleCrop>false</ScaleCrop>
  <LinksUpToDate>false</LinksUpToDate>
  <CharactersWithSpaces>32129</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2021-03-23T05:23:00Z</dcterms:created>
  <dc:creator>综合办</dc:creator>
  <cp:lastModifiedBy>Administrator</cp:lastModifiedBy>
  <dcterms:modified xsi:type="dcterms:W3CDTF">2025-05-09T08:13:21Z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5AD230C8AD6F446CA5F92D609C529A6E</vt:lpwstr>
  </property>
</Properties>
</file>