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81" w:afterLines="100" w:line="240" w:lineRule="auto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2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/>
        </w:rPr>
        <w:t>年度崇明区培训机构网检结果</w:t>
      </w:r>
    </w:p>
    <w:tbl>
      <w:tblPr>
        <w:tblStyle w:val="4"/>
        <w:tblW w:w="8420" w:type="dxa"/>
        <w:jc w:val="center"/>
        <w:tblInd w:w="-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5135"/>
        <w:gridCol w:w="17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lang w:bidi="ar"/>
              </w:rPr>
              <w:t>网检结果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上海长护宝职业技能培训有限公司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上海崇康职业技能培训有限公司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上海市崇明竖职教育培训中心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上海崇明竞一职业技术培训中心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abs>
                <w:tab w:val="left" w:pos="208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上海市江南长兴职业培训学校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合格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81" w:afterLines="100" w:line="240" w:lineRule="auto"/>
        <w:ind w:left="0" w:lef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81" w:afterLines="100" w:line="240" w:lineRule="auto"/>
        <w:ind w:left="0" w:lef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81" w:afterLines="100" w:line="240" w:lineRule="auto"/>
        <w:ind w:left="0" w:lef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81" w:afterLines="100" w:line="240" w:lineRule="auto"/>
        <w:ind w:left="0" w:lef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81" w:afterLines="100" w:line="240" w:lineRule="auto"/>
        <w:ind w:left="0" w:lef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81" w:afterLines="100" w:line="240" w:lineRule="auto"/>
        <w:ind w:left="0" w:lef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581" w:afterLines="100" w:line="240" w:lineRule="auto"/>
        <w:ind w:left="0" w:lef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92" w:afterLines="50" w:line="240" w:lineRule="auto"/>
        <w:ind w:left="0" w:lef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eastAsia="zh-CN"/>
        </w:rPr>
        <w:t>年度崇明区培训项目网检结果</w:t>
      </w:r>
    </w:p>
    <w:tbl>
      <w:tblPr>
        <w:tblStyle w:val="4"/>
        <w:tblW w:w="8445" w:type="dxa"/>
        <w:tblInd w:w="-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4"/>
        <w:gridCol w:w="3066"/>
        <w:gridCol w:w="2685"/>
        <w:gridCol w:w="1125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网检结果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上海崇明中华职业进修学校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母婴护理（专项职业能力）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家政服务（专项职业能力）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上海市崇明中兴镇社区学校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大棚蔬菜（专项职业能力）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林木栽培（专项职业能力）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上海市崇明陈家镇社区学校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大棚蔬菜（专项职业能力）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林木栽培（专项职业能力）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河蟹养殖（专项职业能力）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上海市崇明堡镇社区学校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大棚蔬菜（专项职业能力）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8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上海市崇明陈家镇社区学校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白山羊饲养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（专项职业能力）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上海市崇明堡镇社区学校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中式烹调师（初级/五级）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中式面点师（初级/五级）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中式面点师（中级/四级）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上海春华进修学校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育婴员（初级/五级）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育婴员（中级/四级）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45FC"/>
    <w:rsid w:val="1C114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2022-06-24T01:34:00Z</dcterms:created>
  <dc:creator>ntko</dc:creator>
  <cp:lastModifiedBy>ntko</cp:lastModifiedBy>
  <dcterms:modified xsi:type="dcterms:W3CDTF">2022-06-24T01:35:37Z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