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40" w:lineRule="exact"/>
        <w:ind w:firstLine="0" w:firstLineChars="0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>
      <w:pPr>
        <w:spacing w:before="0" w:line="540" w:lineRule="exact"/>
        <w:ind w:firstLine="0" w:firstLineChars="0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</w:p>
    <w:p>
      <w:pPr>
        <w:spacing w:before="0" w:line="540" w:lineRule="exact"/>
        <w:ind w:firstLine="0" w:firstLineChars="0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</w:p>
    <w:p>
      <w:pPr>
        <w:spacing w:line="880" w:lineRule="exact"/>
        <w:jc w:val="distribute"/>
        <w:rPr>
          <w:rFonts w:ascii="方正小标宋简体" w:eastAsia="方正小标宋简体"/>
          <w:color w:val="FF0000"/>
          <w:spacing w:val="-11"/>
          <w:w w:val="75"/>
          <w:sz w:val="80"/>
          <w:szCs w:val="80"/>
        </w:rPr>
      </w:pPr>
      <w:r>
        <w:rPr>
          <w:rFonts w:hint="eastAsia" w:ascii="方正小标宋简体" w:eastAsia="方正小标宋简体"/>
          <w:color w:val="FF0000"/>
          <w:spacing w:val="-11"/>
          <w:w w:val="75"/>
          <w:sz w:val="80"/>
          <w:szCs w:val="80"/>
        </w:rPr>
        <w:t>上海市崇明区农业</w:t>
      </w:r>
      <w:r>
        <w:rPr>
          <w:rFonts w:hint="eastAsia" w:ascii="方正小标宋简体" w:eastAsia="方正小标宋简体"/>
          <w:color w:val="FF0000"/>
          <w:spacing w:val="-11"/>
          <w:w w:val="75"/>
          <w:sz w:val="80"/>
          <w:szCs w:val="80"/>
          <w:lang w:val="en-US" w:eastAsia="zh-CN"/>
        </w:rPr>
        <w:t>农村</w:t>
      </w:r>
      <w:r>
        <w:rPr>
          <w:rFonts w:hint="eastAsia" w:ascii="方正小标宋简体" w:eastAsia="方正小标宋简体"/>
          <w:color w:val="FF0000"/>
          <w:spacing w:val="-11"/>
          <w:w w:val="75"/>
          <w:sz w:val="80"/>
          <w:szCs w:val="80"/>
        </w:rPr>
        <w:t>委员会文件</w:t>
      </w:r>
    </w:p>
    <w:p>
      <w:pPr>
        <w:spacing w:line="560" w:lineRule="exact"/>
        <w:rPr>
          <w:szCs w:val="21"/>
        </w:rPr>
      </w:pPr>
    </w:p>
    <w:p>
      <w:pPr>
        <w:spacing w:line="560" w:lineRule="exact"/>
        <w:rPr>
          <w:szCs w:val="21"/>
        </w:rPr>
      </w:pPr>
    </w:p>
    <w:p>
      <w:pPr>
        <w:spacing w:line="560" w:lineRule="exact"/>
        <w:jc w:val="center"/>
        <w:rPr>
          <w:rFonts w:hint="default" w:ascii="楷体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沪崇农发〔</w:t>
      </w:r>
      <w:r>
        <w:rPr>
          <w:rFonts w:hint="eastAsia" w:ascii="仿宋_GB2312" w:eastAsia="仿宋_GB2312"/>
          <w:sz w:val="32"/>
          <w:lang w:eastAsia="zh-CN"/>
        </w:rPr>
        <w:t>2023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号</w:t>
      </w:r>
    </w:p>
    <w:p>
      <w:pPr>
        <w:spacing w:line="160" w:lineRule="exact"/>
        <w:rPr>
          <w:color w:val="FF0000"/>
          <w:szCs w:val="21"/>
          <w:u w:val="thick"/>
        </w:rPr>
      </w:pPr>
      <w:r>
        <w:rPr>
          <w:rFonts w:hint="eastAsia"/>
          <w:color w:val="FF0000"/>
          <w:szCs w:val="21"/>
          <w:u w:val="thick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86"/>
          <w:kern w:val="0"/>
          <w:sz w:val="44"/>
          <w:szCs w:val="44"/>
          <w:fitText w:val="8809" w:id="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86"/>
          <w:kern w:val="0"/>
          <w:sz w:val="44"/>
          <w:szCs w:val="44"/>
          <w:fitText w:val="8809" w:id="1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82"/>
          <w:kern w:val="0"/>
          <w:sz w:val="44"/>
          <w:szCs w:val="44"/>
          <w:fitText w:val="7590" w:id="2"/>
          <w:lang w:eastAsia="zh-CN"/>
        </w:rPr>
        <w:t>上海市崇明区长江退捕禁捕工作领导小组办公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w w:val="82"/>
          <w:kern w:val="0"/>
          <w:sz w:val="44"/>
          <w:szCs w:val="44"/>
          <w:fitText w:val="7590" w:id="2"/>
          <w:lang w:eastAsia="zh-CN"/>
        </w:rPr>
        <w:t>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关于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86"/>
          <w:kern w:val="0"/>
          <w:sz w:val="44"/>
          <w:szCs w:val="44"/>
          <w:fitText w:val="8809" w:id="3"/>
          <w:lang w:eastAsia="zh-CN"/>
        </w:rPr>
        <w:t>印发《2023年崇明区长江禁捕管理工作要点》的通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w w:val="86"/>
          <w:kern w:val="0"/>
          <w:sz w:val="44"/>
          <w:szCs w:val="44"/>
          <w:fitText w:val="8809" w:id="3"/>
          <w:lang w:eastAsia="zh-CN"/>
        </w:rPr>
        <w:t>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镇人民政府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有关委办局，在崇市属有关部门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党中央、国务院关于长江禁渔重要决策部署，进一步推进我区长江禁捕各项重点管理工作，持续深化各项制度措施，根据长江禁捕退捕工作专班《长江十年禁渔工作“三年强基础”重点任务实施方案》和市长江退捕禁捕工作领导小组办公室要求，结合我区长江禁捕管理工作实际，我办制定了《2023年崇明区长江禁捕管理工作要点》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现印发你们，请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遵照执行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2023年崇明区长江禁捕管理工作要点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上海市崇明区长江退捕禁捕工作领导小组办公室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上海市</w:t>
      </w:r>
      <w:r>
        <w:rPr>
          <w:rFonts w:hint="eastAsia" w:ascii="仿宋_GB2312" w:hAnsi="仿宋_GB2312" w:eastAsia="仿宋_GB2312" w:cs="仿宋_GB2312"/>
          <w:sz w:val="32"/>
          <w:szCs w:val="32"/>
        </w:rPr>
        <w:t>崇明区农业农村委员会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（代章）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8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上海市崇明区农业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农村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委员会办公室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2023年崇明区长江禁捕管理工作要点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91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国家长江禁捕退捕工作专班《长江十年禁渔工作“三年强基础”重点任务实施方案》要求，为有效防范和严厉打击非法捕捞行为，切实巩固和维护长江崇明段禁捕管理秩序，坚决打好长江“十年禁渔”攻坚战和持久战，现就2023年长江禁捕管理提出如下工作要点: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一、坚持立足本区实际，持续练好禁渔“内功”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（一）提升社会宣传深度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做好市人大长江禁捕决定、禁用渔具、垂钓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长江禁捕退捕相关政策的宣贯解读工作；注重对沿江村民、外来务工人员的宣传引导，讲深讲透政策边界，解答群众疑问，使群众及时理解禁渔政策；持续运用微信公众号、乡村广播、社区电子屏等载体宣传禁捕退捕重大意义；将宣传引导工作覆盖沿江各行政村，成立宣传队向群众逐条、逐项宣传禁捕政策，引导群众逐步改变在滩涂、港汊、河道等随意捕捞的生活习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（责任单位：乡镇人民政府、区委宣传部、区农业农村委。配合单位：各成员单位。）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加强执法能力建设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推进横向到边、纵向到底的“市、区、部门、乡镇”四级联合执法机制，按照“谁先发现、谁先响应”的原则，建立长江禁捕立体化执法监管体系，形成上下联动、部门协作、运转顺畅的联合执法机制；加强与毗邻省市的联络和对接，将禁捕工作由区内联动延伸到长三角区域协同，加大交界水域共管力度，提高省际交界水域共治能力；加强渔政执法队伍建设，开展业务能力培训，进一步提升渔政队伍的专业化水平，确保执法人员能力素质与禁捕执法监管任务相适应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（责任单位：区农业农村委、区公安分局、区市场监管局。配合单位：乡镇人民政府、沿江在崇市属单位。）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强化执法装备建设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渔政执法装备建设，配置渔政执法高速艇等装备，强化一线渔政执法力量，推动无人机、视频监控等执法信息资源有机整合、高效联动，提升执法监管的信息化、智能化水平，实现重点水域全方位、全时段有效覆盖；加快推进渔政执法保障基地建设，整合现有渔政船（艇）、人员，采取政府购买服务的方式，委托第三方管理，为渔政执法提供有力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（责任单位：区农业农村委。配合单位：区财政局。）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二、坚定一禁十年决心，持续保持高压严管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6" w:firstLineChars="200"/>
        <w:textAlignment w:val="baseline"/>
        <w:rPr>
          <w:rFonts w:ascii="楷体_GB2312" w:hAnsi="楷体_GB2312" w:eastAsia="楷体_GB2312" w:cs="楷体_GB2312"/>
          <w:w w:val="98"/>
          <w:sz w:val="32"/>
          <w:szCs w:val="32"/>
        </w:rPr>
      </w:pPr>
      <w:r>
        <w:rPr>
          <w:rFonts w:hint="eastAsia" w:ascii="楷体_GB2312" w:hAnsi="楷体_GB2312" w:eastAsia="楷体_GB2312" w:cs="楷体_GB2312"/>
          <w:w w:val="98"/>
          <w:sz w:val="32"/>
          <w:szCs w:val="32"/>
        </w:rPr>
        <w:t>（一）紧盯“三无”船舶整治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、乡镇及相关单位要加强重点水域、重点区域巡查驻守，清除本区沿江港口、港汊、滩涂、内陆河道的“三无”船舶(含艇、筏等),常年保持“清零”状态；对滞留本区沿江港口码头、水域的外来渔船实施整治，除因气象或安全原因，外省籍渔船一律不得停泊本区沿江水域(港口、码头)；继续做好乡镇自用船舶(河道保洁等船舶)的管理,签订告知承诺书,禁止从事捕捞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(责任</w:t>
      </w:r>
      <w:r>
        <w:rPr>
          <w:rFonts w:hint="eastAsia" w:ascii="仿宋_GB2312" w:hAnsi="仿宋_GB2312" w:eastAsia="仿宋_GB2312" w:cs="仿宋_GB2312"/>
          <w:b/>
          <w:bCs/>
          <w:w w:val="91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区农业农村委、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区水务局、乡镇人民政府、沿江在崇市属单位。配合单位:区交通委、区公安分局、崇明海事局、崇明海警局。)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紧盯捕捞网具清零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、乡镇及相关单位要建立健全协商共管工作机制，健全日常巡查处置机制，定期排查、清理取缔为非法捕捞提供生产便利的违章搭建、接电供水、堆放网具等活动；农业农村、水务、乡镇及沿江单位要定期开展常态化水陆巡查，清除滩涂、港汊、闸口、芦苇荡等区域的渔具、网具、浮子，保持动态“清零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(责任</w:t>
      </w:r>
      <w:r>
        <w:rPr>
          <w:rFonts w:hint="eastAsia" w:ascii="仿宋_GB2312" w:hAnsi="仿宋_GB2312" w:eastAsia="仿宋_GB2312" w:cs="仿宋_GB2312"/>
          <w:b/>
          <w:bCs/>
          <w:w w:val="91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区农业农村委、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区水务局、乡镇人民政府、沿江在崇市属单位。配合单位:区公安分局、区城管执法局。)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紧盯非法捕捞严查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继续加大鳗苗、蟹苗、刀鲚、凤鲚渔汛等重点时段和长江北支东部地区、崇明东滩、长兴岛、横沙岛等重点水域的执法监管,组织开展联合执法行动和专项执法行动,重拳打击非法捕捞行为，实现动态“清零”；严格落实《关于加强和规范我市长江口禁捕管理区垂钓管理的通告》《关于发布我市渔业水域禁用渔具的通告》等禁渔政策，加大禁钓区执法检查力度，严厉打击生产性垂钓行为，强化禁用渔具清理整治，加强渔具销售监管，研究禁用渔具、长江非法垂钓案件追诉标准及案件移交程序，建立健全行刑衔接工作机制；持续开展打击农（集）贸市场销售、餐饮场所食用长江非法捕捞渔获物专项行动,组织淡水产品索证索票检查,强化网络和广告监测监管，依法查处违法广告和虚假宣传行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w w:val="97"/>
          <w:sz w:val="32"/>
          <w:szCs w:val="32"/>
        </w:rPr>
        <w:t>责任单位:区农业农村委、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区市场监管局、</w:t>
      </w:r>
      <w:r>
        <w:rPr>
          <w:rFonts w:hint="eastAsia" w:ascii="仿宋_GB2312" w:hAnsi="仿宋_GB2312" w:eastAsia="仿宋_GB2312" w:cs="仿宋_GB2312"/>
          <w:b/>
          <w:bCs/>
          <w:w w:val="97"/>
          <w:sz w:val="32"/>
          <w:szCs w:val="32"/>
        </w:rPr>
        <w:t>区公安分局、长航公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安局上海分局。配合单位：</w:t>
      </w:r>
      <w:r>
        <w:rPr>
          <w:rFonts w:hint="eastAsia" w:ascii="仿宋_GB2312" w:hAnsi="仿宋_GB2312" w:eastAsia="仿宋_GB2312" w:cs="仿宋_GB2312"/>
          <w:b/>
          <w:bCs/>
          <w:w w:val="97"/>
          <w:sz w:val="32"/>
          <w:szCs w:val="32"/>
        </w:rPr>
        <w:t>乡镇人民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政府、区水务局、区交通委、崇明海事局、崇明海警局、沿江在崇市属单位。)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三、创新执法协作机制，持续纵深推进禁渔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（一）推行“网格化”新措施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水务、农业农村等部门要协同乡镇，依托“河长制”、网格中心等平台，对本区港口、港汊、滩涂、河道进行网格化划分，采取划片包干、定人定岗、定位定点的方式，落实乡镇或部门的管理单元。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（责任单位:乡镇人民政府、区水务局、沿江在崇市属单位。</w:t>
      </w:r>
      <w:r>
        <w:rPr>
          <w:rFonts w:hint="eastAsia" w:ascii="仿宋_GB2312" w:hAnsi="仿宋_GB2312" w:eastAsia="仿宋_GB2312" w:cs="仿宋_GB2312"/>
          <w:b/>
          <w:bCs/>
          <w:w w:val="97"/>
          <w:sz w:val="32"/>
          <w:szCs w:val="32"/>
        </w:rPr>
        <w:t>配合单位: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区农业农村委</w:t>
      </w:r>
      <w:r>
        <w:rPr>
          <w:rFonts w:hint="eastAsia" w:ascii="仿宋_GB2312" w:hAnsi="仿宋_GB2312" w:eastAsia="仿宋_GB2312" w:cs="仿宋_GB2312"/>
          <w:b/>
          <w:bCs/>
          <w:w w:val="97"/>
          <w:sz w:val="32"/>
          <w:szCs w:val="32"/>
        </w:rPr>
        <w:t>、区公安分局、区交通委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（二）加强巡护队伍建设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镇、有关部门、相关单位要进一步落实监管责任，依托生态养护社、河道保洁队、海塘养护企业、内部安保队伍，建立健全长江禁渔巡护队伍，对沿江港口、港汊、滩涂等区域加大巡查，开展保护巡护、法规宣传等工作，及时发现、报告、制止各种非法捕捞及其它破坏水生生物和渔业水域生态的违法行为，对非法捕捞案件现场进行证据收集和临时处置；开展巡护人员职责任务、工作纪律、职业道德等方面培训，注意收集巡护工作中的好经验好做法，加强宣传报道，加深社会公众对长江巡护工作的支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（责任单位：乡镇人民政府、区水务局、沿江在崇市属单位。配合单位：区农业农村委。）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（三）强化群防群治措施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依托市长江禁捕智能管控系统，建立长江禁捕区级指挥中心，按照“一个系统、属地管辖、闭环监管、就近处置”的原则，对系统预警的非法捕捞信息分析研判，及时调动渔政、乡镇、相关部门，对发现的涉渔问题立即处置；要积极引导、发动村（居）委等群防群治力量，营造全社会共同关爱长江、关注保护的良好氛围；社会保障、民政等部门对退捕渔民开展跟踪调查回访；公安、农业农村等部门开展涉渔风险隐患集中排查，健全畅通群众举报反映渠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（责任单位：区农业农村委、区公安分局、区人力资源社会保障局、区民政局、乡镇人民政府。）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附件：崇明区长江禁渔“网格化”管理表 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崇明区长江禁渔“网格化”管理表</w:t>
      </w:r>
    </w:p>
    <w:tbl>
      <w:tblPr>
        <w:tblStyle w:val="7"/>
        <w:tblW w:w="106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935"/>
        <w:gridCol w:w="3195"/>
        <w:gridCol w:w="2393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93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管理区域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管理重点点位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管理单位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（部门）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协管单位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长江干流崇明段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长江禁捕管理区范围内的北支水道、北港水道以及深水航道灯浮以北横沙浅滩水域；东经122度15分、北纬30度07分44秒连线以北以西区域。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区农业农村委执法大队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区水务局、区交通委、区公安分局、长航公安局上海分局、崇明海事局、崇明海警局。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崇明本岛北沿沿岸区域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庙港北闸、界河水闸、跃进水闸、三通港函闸、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八滧港北闸、六滧港北闸、四滧港北闸、堡镇港北闸周边及沿线沿岸区域、滩涂等。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区水务局海塘所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区农业农村委、区交通委、区公安分局、长航公安局上海分局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；相关乡镇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崇明东滩自然保护区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两通港、小南港、团结沙水闸东侧、东旺沙港、北八滧港东侧周边及沿线沿岸区域、滩涂等。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市崇明东滩自然保护区管理事务中心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上实公司区域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团结沙水闸沿线沿岸区域、滩涂等；辖区内河道。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上海实业东滩投资开发（集团）有限公司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新村乡区域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庙港北闸、界河水闸周边及沿线沿岸区域、滩涂等；辖区内河道。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新村乡人民政府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绿华镇区域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东风西沙水库至崇西水闸沿线沿岸区域、滩涂等；辖区内河道。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绿华镇人民政府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三星镇区域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庙港水闸西侧及沿线沿岸区域、滩涂等；辖区内河道。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三星镇人民政府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庙镇区域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庙港水闸东侧、鸽龙港、万安港东与城桥镇交界区域沿线沿岸区域、滩涂等；辖区内河道。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庙镇人民政府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港西镇区域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港西镇人民政府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区农业农村委、区水务局、区公安分局。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城桥镇区域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张网港、推虾港、老滧港、三沙洪水闸西与庙镇交界区域沿线沿岸区域、滩涂等；辖区内河道。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城桥镇人民政府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区农业农村委、区水务局、区公安分局。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新河镇区域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黄家河港、新河港周边及沿线沿岸区域、滩涂等；辖区内河道。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新河镇人民政府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竖新镇区域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三条港、小竖河港周边及沿线沿岸区域、滩涂等；辖区内河道。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竖新镇人民政府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港沿镇区域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港沿镇人民政府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区农业农村委、区水务局、区公安分局。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堡镇区域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南四滧港、南堡镇港周边及沿线沿岸区域、滩涂等；辖区内河道。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堡镇人民政府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向化镇区域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南六滧港周边及沿线沿岸区域、滩涂等；辖区内河道。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向化镇人民政府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中兴镇区域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南八滧港周边及沿线沿岸区域、滩涂等；辖区内河道。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中兴镇人民政府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陈家镇区域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奚家港周边及沿线沿岸区域、滩涂等；辖区内河道。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陈家镇人民政府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长兴镇区域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长兴岛周边港口及环岛沿岸区域、滩涂等；辖区内河道。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长兴镇人民政府、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长兴海塘所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横沙乡区域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横沙岛周边港口及环岛沿岸区域、滩涂等；辖区内河道。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横沙乡人民政府、横沙海塘所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东平镇区域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东平镇人民政府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区农业农村委、区水务局、区公安分局。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31" w:type="dxa"/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新海镇区域</w:t>
            </w:r>
          </w:p>
        </w:tc>
        <w:tc>
          <w:tcPr>
            <w:tcW w:w="3195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跃进水闸周边及沿线沿岸区域、滩涂等；辖区内河道。</w:t>
            </w:r>
          </w:p>
        </w:tc>
        <w:tc>
          <w:tcPr>
            <w:tcW w:w="2393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新海镇人民政府</w:t>
            </w:r>
          </w:p>
        </w:tc>
        <w:tc>
          <w:tcPr>
            <w:tcW w:w="2242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区农业农村委、区水务局、区交通委、区公安分局、长航公安局上海分局。</w:t>
            </w:r>
          </w:p>
        </w:tc>
      </w:tr>
    </w:tbl>
    <w:p>
      <w:pPr>
        <w:rPr>
          <w:rFonts w:hint="default" w:eastAsia="宋体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exact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exact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EAFD7C"/>
    <w:multiLevelType w:val="singleLevel"/>
    <w:tmpl w:val="E5EAFD7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03E0FE5C"/>
    <w:multiLevelType w:val="singleLevel"/>
    <w:tmpl w:val="03E0FE5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92C99A6"/>
    <w:multiLevelType w:val="singleLevel"/>
    <w:tmpl w:val="792C99A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WY5ZDE0NzliODIwNDgxNTFmMzE5NDliN2I2MjkifQ=="/>
  </w:docVars>
  <w:rsids>
    <w:rsidRoot w:val="56D71F50"/>
    <w:rsid w:val="084C1A9F"/>
    <w:rsid w:val="0A903909"/>
    <w:rsid w:val="27F070E7"/>
    <w:rsid w:val="3BC2031F"/>
    <w:rsid w:val="3C941E7A"/>
    <w:rsid w:val="40DE56DB"/>
    <w:rsid w:val="436D1E8C"/>
    <w:rsid w:val="4BE011E0"/>
    <w:rsid w:val="51331C11"/>
    <w:rsid w:val="54E630E2"/>
    <w:rsid w:val="56D7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Arial Unicode MS"/>
      <w:sz w:val="24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4379</Words>
  <Characters>4410</Characters>
  <Lines>0</Lines>
  <Paragraphs>0</Paragraphs>
  <TotalTime>26</TotalTime>
  <ScaleCrop>false</ScaleCrop>
  <LinksUpToDate>false</LinksUpToDate>
  <CharactersWithSpaces>4539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2023-02-07T00:49:00Z</dcterms:created>
  <dc:creator>L   H</dc:creator>
  <cp:lastModifiedBy>THE NEXT</cp:lastModifiedBy>
  <cp:lastPrinted>2023-02-10T01:16:25Z</cp:lastPrinted>
  <dcterms:modified xsi:type="dcterms:W3CDTF">2023-02-10T01:16:32Z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B90266932D434301B3CA92630B4C072A</vt:lpwstr>
  </property>
</Properties>
</file>