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721"/>
        <w:jc w:val="center"/>
        <w:rPr>
          <w:rFonts w:ascii="华文中宋" w:hAnsi="华文中宋" w:eastAsia="华文中宋" w:cs="华文中宋"/>
          <w:b/>
          <w:bCs/>
          <w:sz w:val="36"/>
          <w:szCs w:val="36"/>
        </w:rPr>
      </w:pPr>
      <w:bookmarkStart w:id="0" w:name="_Toc498425588"/>
    </w:p>
    <w:p>
      <w:pPr>
        <w:spacing w:line="600" w:lineRule="exact"/>
        <w:ind w:firstLine="0" w:firstLineChars="0"/>
        <w:jc w:val="center"/>
        <w:rPr>
          <w:rFonts w:ascii="华文中宋" w:hAnsi="华文中宋" w:eastAsia="华文中宋" w:cs="华文中宋"/>
          <w:b/>
          <w:bCs/>
          <w:sz w:val="36"/>
          <w:szCs w:val="36"/>
        </w:rPr>
      </w:pPr>
      <w:r>
        <w:rPr>
          <w:rFonts w:hint="eastAsia" w:ascii="华文中宋" w:hAnsi="华文中宋" w:eastAsia="华文中宋" w:cs="华文中宋"/>
          <w:b/>
          <w:bCs/>
          <w:sz w:val="36"/>
          <w:szCs w:val="36"/>
        </w:rPr>
        <w:t>关于《崇明区生态环境保护“十四五</w:t>
      </w:r>
      <w:r>
        <w:rPr>
          <w:rFonts w:ascii="华文中宋" w:hAnsi="华文中宋" w:eastAsia="华文中宋" w:cs="华文中宋"/>
          <w:b/>
          <w:bCs/>
          <w:sz w:val="36"/>
          <w:szCs w:val="36"/>
        </w:rPr>
        <w:t>”</w:t>
      </w:r>
      <w:r>
        <w:rPr>
          <w:rFonts w:hint="eastAsia" w:ascii="华文中宋" w:hAnsi="华文中宋" w:eastAsia="华文中宋" w:cs="华文中宋"/>
          <w:b/>
          <w:bCs/>
          <w:sz w:val="36"/>
          <w:szCs w:val="36"/>
        </w:rPr>
        <w:t>规划</w:t>
      </w:r>
    </w:p>
    <w:p>
      <w:pPr>
        <w:spacing w:line="600" w:lineRule="exact"/>
        <w:ind w:firstLine="0" w:firstLineChars="0"/>
        <w:jc w:val="center"/>
        <w:rPr>
          <w:rFonts w:ascii="华文中宋" w:hAnsi="华文中宋" w:eastAsia="华文中宋" w:cs="华文中宋"/>
          <w:b/>
          <w:bCs/>
          <w:sz w:val="36"/>
          <w:szCs w:val="36"/>
        </w:rPr>
      </w:pPr>
      <w:r>
        <w:rPr>
          <w:rFonts w:hint="eastAsia" w:ascii="华文中宋" w:hAnsi="华文中宋" w:eastAsia="华文中宋" w:cs="华文中宋"/>
          <w:b/>
          <w:bCs/>
          <w:sz w:val="36"/>
          <w:szCs w:val="36"/>
        </w:rPr>
        <w:t>（送审稿）》的修改建议的采纳说明</w:t>
      </w:r>
    </w:p>
    <w:p>
      <w:pPr>
        <w:ind w:firstLine="480"/>
      </w:pPr>
    </w:p>
    <w:p>
      <w:pPr>
        <w:spacing w:line="640" w:lineRule="exact"/>
        <w:ind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区政府办公室：</w:t>
      </w:r>
      <w:bookmarkStart w:id="1" w:name="_GoBack"/>
      <w:bookmarkEnd w:id="1"/>
    </w:p>
    <w:p>
      <w:pPr>
        <w:spacing w:line="640" w:lineRule="exact"/>
        <w:ind w:firstLine="604" w:firstLineChars="189"/>
        <w:rPr>
          <w:rFonts w:ascii="仿宋_GB2312" w:hAnsi="仿宋_GB2312" w:eastAsia="仿宋_GB2312" w:cs="仿宋_GB2312"/>
          <w:sz w:val="32"/>
          <w:szCs w:val="32"/>
        </w:rPr>
      </w:pPr>
      <w:r>
        <w:rPr>
          <w:rFonts w:hint="eastAsia" w:ascii="仿宋_GB2312" w:hAnsi="仿宋_GB2312" w:eastAsia="仿宋_GB2312" w:cs="仿宋_GB2312"/>
          <w:sz w:val="32"/>
          <w:szCs w:val="32"/>
        </w:rPr>
        <w:t>《关于崇明区生态环境保护“十四五</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规划（送审稿）的修改建议》已经收悉，我局结合实际工作，对此进行了认真研究。现反馈如下 ：</w:t>
      </w:r>
    </w:p>
    <w:p>
      <w:pPr>
        <w:pStyle w:val="2"/>
        <w:ind w:firstLine="360"/>
      </w:pPr>
    </w:p>
    <w:p>
      <w:pPr>
        <w:pStyle w:val="2"/>
        <w:ind w:firstLine="360"/>
      </w:pPr>
    </w:p>
    <w:bookmarkEnd w:id="0"/>
    <w:tbl>
      <w:tblPr>
        <w:tblStyle w:val="8"/>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3165"/>
        <w:gridCol w:w="1245"/>
        <w:gridCol w:w="4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763" w:type="dxa"/>
            <w:vAlign w:val="center"/>
          </w:tcPr>
          <w:p>
            <w:pPr>
              <w:ind w:firstLine="0" w:firstLineChars="0"/>
              <w:jc w:val="center"/>
              <w:rPr>
                <w:rFonts w:ascii="黑体" w:hAnsi="黑体" w:eastAsia="黑体" w:cs="黑体"/>
              </w:rPr>
            </w:pPr>
            <w:r>
              <w:rPr>
                <w:rFonts w:hint="eastAsia" w:ascii="黑体" w:hAnsi="黑体" w:eastAsia="黑体" w:cs="黑体"/>
              </w:rPr>
              <w:t>序号</w:t>
            </w:r>
          </w:p>
        </w:tc>
        <w:tc>
          <w:tcPr>
            <w:tcW w:w="3165" w:type="dxa"/>
            <w:vAlign w:val="center"/>
          </w:tcPr>
          <w:p>
            <w:pPr>
              <w:ind w:firstLine="0" w:firstLineChars="0"/>
              <w:jc w:val="center"/>
              <w:rPr>
                <w:rFonts w:ascii="黑体" w:hAnsi="黑体" w:eastAsia="黑体" w:cs="黑体"/>
              </w:rPr>
            </w:pPr>
            <w:r>
              <w:rPr>
                <w:rFonts w:hint="eastAsia" w:ascii="黑体" w:hAnsi="黑体" w:eastAsia="黑体" w:cs="黑体"/>
              </w:rPr>
              <w:t>意  见</w:t>
            </w:r>
          </w:p>
        </w:tc>
        <w:tc>
          <w:tcPr>
            <w:tcW w:w="1245" w:type="dxa"/>
            <w:vAlign w:val="center"/>
          </w:tcPr>
          <w:p>
            <w:pPr>
              <w:ind w:firstLine="0" w:firstLineChars="0"/>
              <w:jc w:val="center"/>
              <w:rPr>
                <w:rFonts w:ascii="黑体" w:hAnsi="黑体" w:eastAsia="黑体" w:cs="黑体"/>
              </w:rPr>
            </w:pPr>
            <w:r>
              <w:rPr>
                <w:rFonts w:hint="eastAsia" w:ascii="黑体" w:hAnsi="黑体" w:eastAsia="黑体" w:cs="黑体"/>
              </w:rPr>
              <w:t>采纳情况</w:t>
            </w:r>
          </w:p>
        </w:tc>
        <w:tc>
          <w:tcPr>
            <w:tcW w:w="4125" w:type="dxa"/>
            <w:vAlign w:val="center"/>
          </w:tcPr>
          <w:p>
            <w:pPr>
              <w:ind w:firstLine="0" w:firstLineChars="0"/>
              <w:jc w:val="center"/>
              <w:rPr>
                <w:rFonts w:ascii="黑体" w:hAnsi="黑体" w:eastAsia="黑体" w:cs="黑体"/>
              </w:rPr>
            </w:pPr>
            <w:r>
              <w:rPr>
                <w:rFonts w:hint="eastAsia" w:ascii="黑体" w:hAnsi="黑体" w:eastAsia="黑体" w:cs="黑体"/>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trPr>
        <w:tc>
          <w:tcPr>
            <w:tcW w:w="763" w:type="dxa"/>
            <w:vAlign w:val="center"/>
          </w:tcPr>
          <w:p>
            <w:pPr>
              <w:ind w:firstLine="0" w:firstLineChars="0"/>
              <w:jc w:val="center"/>
            </w:pPr>
            <w:r>
              <w:rPr>
                <w:rFonts w:hint="eastAsia"/>
              </w:rPr>
              <w:t>1</w:t>
            </w:r>
          </w:p>
        </w:tc>
        <w:tc>
          <w:tcPr>
            <w:tcW w:w="3165" w:type="dxa"/>
            <w:vAlign w:val="center"/>
          </w:tcPr>
          <w:p>
            <w:pPr>
              <w:ind w:firstLine="0" w:firstLineChars="0"/>
              <w:jc w:val="left"/>
            </w:pPr>
            <w:r>
              <w:rPr>
                <w:rFonts w:hint="eastAsia" w:ascii="仿宋" w:hAnsi="仿宋" w:eastAsia="仿宋" w:cs="仿宋"/>
              </w:rPr>
              <w:t>“坚决打好升级版污染防治攻坚战”的表述与“十四五”时期我国生态文明建设的目标定位不符。</w:t>
            </w:r>
          </w:p>
        </w:tc>
        <w:tc>
          <w:tcPr>
            <w:tcW w:w="1245" w:type="dxa"/>
            <w:vAlign w:val="center"/>
          </w:tcPr>
          <w:p>
            <w:pPr>
              <w:ind w:firstLine="0" w:firstLineChars="0"/>
              <w:jc w:val="center"/>
            </w:pPr>
            <w:r>
              <w:rPr>
                <w:rFonts w:hint="eastAsia" w:ascii="仿宋" w:hAnsi="仿宋" w:eastAsia="仿宋" w:cs="仿宋"/>
                <w:lang w:eastAsia="zh-CN"/>
              </w:rPr>
              <w:t>部分</w:t>
            </w:r>
            <w:r>
              <w:rPr>
                <w:rFonts w:hint="eastAsia" w:ascii="仿宋" w:hAnsi="仿宋" w:eastAsia="仿宋" w:cs="仿宋"/>
              </w:rPr>
              <w:t>采纳</w:t>
            </w:r>
          </w:p>
        </w:tc>
        <w:tc>
          <w:tcPr>
            <w:tcW w:w="4125" w:type="dxa"/>
          </w:tcPr>
          <w:p>
            <w:pPr>
              <w:ind w:firstLine="0" w:firstLineChars="0"/>
            </w:pPr>
            <w:r>
              <w:rPr>
                <w:rFonts w:hint="eastAsia" w:ascii="仿宋" w:hAnsi="仿宋" w:eastAsia="仿宋" w:cs="仿宋"/>
              </w:rPr>
              <w:t>“打好升级版污染防治攻坚战”是我国生态环境保护“十四五”的重要任务，与“十四五”时期我国生态文明建设的目标定位不冲突：1.生态环境部部长黄润秋在十三届全国人大三次会议采访时表示：十四五”要继续打好污染防治攻坚战，而且是升级版的污染防治攻坚战。2.生态环境部环境规划院院长王金南今年3月在采访时提出：打好升级版的污染防治攻坚战。3.《中华人民共和国国民经济和社会发展第十四个五年规划和2035年远景目标纲要》第三十八章明确“深入打好污染防治攻坚战”；本市生态环境保护“十四五”规划指导思想中提出“深入打好污染防治攻坚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763" w:type="dxa"/>
            <w:vAlign w:val="center"/>
          </w:tcPr>
          <w:p>
            <w:pPr>
              <w:ind w:firstLine="0" w:firstLineChars="0"/>
              <w:jc w:val="center"/>
            </w:pPr>
            <w:r>
              <w:rPr>
                <w:rFonts w:hint="eastAsia"/>
              </w:rPr>
              <w:t>2</w:t>
            </w:r>
          </w:p>
        </w:tc>
        <w:tc>
          <w:tcPr>
            <w:tcW w:w="3165" w:type="dxa"/>
            <w:vAlign w:val="center"/>
          </w:tcPr>
          <w:p>
            <w:pPr>
              <w:ind w:firstLine="0" w:firstLineChars="0"/>
              <w:jc w:val="both"/>
              <w:rPr>
                <w:rFonts w:ascii="仿宋" w:hAnsi="仿宋" w:eastAsia="仿宋" w:cs="仿宋"/>
              </w:rPr>
            </w:pPr>
            <w:r>
              <w:rPr>
                <w:rFonts w:hint="eastAsia" w:ascii="仿宋" w:hAnsi="仿宋" w:eastAsia="仿宋" w:cs="仿宋"/>
              </w:rPr>
              <w:t>“加强基本农田保护”自然段的概念表述与内容安排与现行相关立法中的法律术语以及制度逻辑不一致。</w:t>
            </w:r>
          </w:p>
        </w:tc>
        <w:tc>
          <w:tcPr>
            <w:tcW w:w="1245" w:type="dxa"/>
            <w:vAlign w:val="center"/>
          </w:tcPr>
          <w:p>
            <w:pPr>
              <w:ind w:firstLine="0" w:firstLineChars="0"/>
              <w:jc w:val="center"/>
              <w:rPr>
                <w:rFonts w:ascii="仿宋" w:hAnsi="仿宋" w:eastAsia="仿宋" w:cs="仿宋"/>
              </w:rPr>
            </w:pPr>
            <w:r>
              <w:rPr>
                <w:rFonts w:hint="eastAsia" w:ascii="仿宋" w:hAnsi="仿宋" w:eastAsia="仿宋" w:cs="仿宋"/>
              </w:rPr>
              <w:t>采纳</w:t>
            </w:r>
          </w:p>
        </w:tc>
        <w:tc>
          <w:tcPr>
            <w:tcW w:w="4125" w:type="dxa"/>
            <w:vAlign w:val="center"/>
          </w:tcPr>
          <w:p>
            <w:pPr>
              <w:ind w:firstLine="0" w:firstLineChars="0"/>
              <w:rPr>
                <w:rFonts w:hint="eastAsia" w:ascii="仿宋" w:hAnsi="仿宋" w:eastAsia="仿宋" w:cs="仿宋"/>
              </w:rPr>
            </w:pPr>
            <w:r>
              <w:rPr>
                <w:rFonts w:hint="eastAsia" w:ascii="仿宋" w:hAnsi="仿宋" w:eastAsia="仿宋" w:cs="仿宋"/>
              </w:rPr>
              <w:t>结合《区“十四五”规划纲要》内容予以修改。本章主题</w:t>
            </w:r>
            <w:r>
              <w:rPr>
                <w:rFonts w:ascii="仿宋" w:hAnsi="仿宋" w:eastAsia="仿宋" w:cs="仿宋"/>
              </w:rPr>
              <w:t>是“</w:t>
            </w:r>
            <w:r>
              <w:rPr>
                <w:rFonts w:hint="eastAsia" w:ascii="仿宋" w:hAnsi="仿宋" w:eastAsia="仿宋" w:cs="仿宋"/>
              </w:rPr>
              <w:t>优化生态空间格局</w:t>
            </w:r>
            <w:r>
              <w:rPr>
                <w:rFonts w:ascii="仿宋" w:hAnsi="仿宋" w:eastAsia="仿宋" w:cs="仿宋"/>
              </w:rPr>
              <w:t>”</w:t>
            </w:r>
            <w:r>
              <w:rPr>
                <w:rFonts w:hint="eastAsia" w:ascii="仿宋" w:hAnsi="仿宋" w:eastAsia="仿宋" w:cs="仿宋"/>
              </w:rPr>
              <w:t>，故</w:t>
            </w:r>
            <w:r>
              <w:rPr>
                <w:rFonts w:ascii="仿宋" w:hAnsi="仿宋" w:eastAsia="仿宋" w:cs="仿宋"/>
              </w:rPr>
              <w:t>删除了</w:t>
            </w:r>
            <w:r>
              <w:rPr>
                <w:rFonts w:hint="eastAsia" w:ascii="仿宋" w:hAnsi="仿宋" w:eastAsia="仿宋" w:cs="仿宋"/>
              </w:rPr>
              <w:t>耕地</w:t>
            </w:r>
            <w:r>
              <w:rPr>
                <w:rFonts w:ascii="仿宋" w:hAnsi="仿宋" w:eastAsia="仿宋" w:cs="仿宋"/>
              </w:rPr>
              <w:t>保护</w:t>
            </w:r>
            <w:r>
              <w:rPr>
                <w:rFonts w:hint="eastAsia" w:ascii="仿宋" w:hAnsi="仿宋" w:eastAsia="仿宋" w:cs="仿宋"/>
              </w:rPr>
              <w:t>相关</w:t>
            </w:r>
            <w:r>
              <w:rPr>
                <w:rFonts w:ascii="仿宋" w:hAnsi="仿宋" w:eastAsia="仿宋" w:cs="仿宋"/>
              </w:rPr>
              <w:t>内容</w:t>
            </w:r>
            <w:r>
              <w:rPr>
                <w:rFonts w:hint="eastAsia" w:ascii="仿宋" w:hAnsi="仿宋" w:eastAsia="仿宋" w:cs="仿宋"/>
              </w:rPr>
              <w:t>，</w:t>
            </w:r>
            <w:r>
              <w:rPr>
                <w:rFonts w:ascii="仿宋" w:hAnsi="仿宋" w:eastAsia="仿宋" w:cs="仿宋"/>
              </w:rPr>
              <w:t>只保留了</w:t>
            </w:r>
            <w:r>
              <w:rPr>
                <w:rFonts w:hint="eastAsia" w:ascii="仿宋" w:hAnsi="仿宋" w:eastAsia="仿宋" w:cs="仿宋"/>
              </w:rPr>
              <w:t>“划实66.33万亩耕地及永久基本农田”</w:t>
            </w:r>
            <w:r>
              <w:rPr>
                <w:rFonts w:ascii="仿宋" w:hAnsi="仿宋" w:eastAsia="仿宋" w:cs="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763" w:type="dxa"/>
            <w:vAlign w:val="center"/>
          </w:tcPr>
          <w:p>
            <w:pPr>
              <w:ind w:firstLine="0" w:firstLineChars="0"/>
              <w:jc w:val="center"/>
            </w:pPr>
            <w:r>
              <w:rPr>
                <w:rFonts w:hint="eastAsia"/>
              </w:rPr>
              <w:t>3</w:t>
            </w:r>
          </w:p>
        </w:tc>
        <w:tc>
          <w:tcPr>
            <w:tcW w:w="3165" w:type="dxa"/>
            <w:vAlign w:val="center"/>
          </w:tcPr>
          <w:p>
            <w:pPr>
              <w:ind w:firstLine="0" w:firstLineChars="0"/>
              <w:jc w:val="both"/>
              <w:rPr>
                <w:rFonts w:ascii="仿宋" w:hAnsi="仿宋" w:eastAsia="仿宋" w:cs="仿宋"/>
              </w:rPr>
            </w:pPr>
            <w:r>
              <w:rPr>
                <w:rFonts w:hint="eastAsia" w:ascii="仿宋" w:hAnsi="仿宋" w:eastAsia="仿宋" w:cs="仿宋"/>
              </w:rPr>
              <w:t>有关“落实水、气、土环境质量分区管控”的 表述似不规范。</w:t>
            </w:r>
          </w:p>
        </w:tc>
        <w:tc>
          <w:tcPr>
            <w:tcW w:w="1245" w:type="dxa"/>
            <w:vAlign w:val="center"/>
          </w:tcPr>
          <w:p>
            <w:pPr>
              <w:ind w:firstLine="0" w:firstLineChars="0"/>
              <w:jc w:val="center"/>
              <w:rPr>
                <w:rFonts w:ascii="仿宋" w:hAnsi="仿宋" w:eastAsia="仿宋" w:cs="仿宋"/>
              </w:rPr>
            </w:pPr>
            <w:r>
              <w:rPr>
                <w:rFonts w:hint="eastAsia" w:ascii="仿宋" w:hAnsi="仿宋" w:eastAsia="仿宋" w:cs="仿宋"/>
              </w:rPr>
              <w:t>采纳</w:t>
            </w:r>
          </w:p>
        </w:tc>
        <w:tc>
          <w:tcPr>
            <w:tcW w:w="4125" w:type="dxa"/>
            <w:vAlign w:val="center"/>
          </w:tcPr>
          <w:p>
            <w:pPr>
              <w:ind w:firstLine="0" w:firstLineChars="0"/>
              <w:rPr>
                <w:rFonts w:ascii="仿宋" w:hAnsi="仿宋" w:eastAsia="仿宋" w:cs="仿宋"/>
              </w:rPr>
            </w:pPr>
            <w:r>
              <w:rPr>
                <w:rFonts w:hint="eastAsia" w:ascii="仿宋" w:hAnsi="仿宋" w:eastAsia="仿宋" w:cs="仿宋"/>
              </w:rPr>
              <w:t>按照建议修改。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763" w:type="dxa"/>
            <w:vAlign w:val="center"/>
          </w:tcPr>
          <w:p>
            <w:pPr>
              <w:ind w:firstLine="0" w:firstLineChars="0"/>
              <w:jc w:val="center"/>
            </w:pPr>
            <w:r>
              <w:rPr>
                <w:rFonts w:hint="eastAsia"/>
              </w:rPr>
              <w:t>4</w:t>
            </w:r>
          </w:p>
        </w:tc>
        <w:tc>
          <w:tcPr>
            <w:tcW w:w="3165" w:type="dxa"/>
            <w:vAlign w:val="center"/>
          </w:tcPr>
          <w:p>
            <w:pPr>
              <w:ind w:firstLine="0" w:firstLineChars="0"/>
              <w:jc w:val="both"/>
              <w:rPr>
                <w:rFonts w:ascii="仿宋" w:hAnsi="仿宋" w:eastAsia="仿宋" w:cs="仿宋"/>
              </w:rPr>
            </w:pPr>
            <w:r>
              <w:rPr>
                <w:rFonts w:hint="eastAsia" w:ascii="仿宋" w:hAnsi="仿宋" w:eastAsia="仿宋" w:cs="仿宋"/>
              </w:rPr>
              <w:t>在“完善城乡公园体系”部分有关“国家公园”概念的选用不严谨。</w:t>
            </w:r>
          </w:p>
        </w:tc>
        <w:tc>
          <w:tcPr>
            <w:tcW w:w="1245" w:type="dxa"/>
            <w:vAlign w:val="center"/>
          </w:tcPr>
          <w:p>
            <w:pPr>
              <w:ind w:firstLine="0" w:firstLineChars="0"/>
              <w:jc w:val="center"/>
              <w:rPr>
                <w:rFonts w:ascii="仿宋" w:hAnsi="仿宋" w:eastAsia="仿宋" w:cs="仿宋"/>
              </w:rPr>
            </w:pPr>
            <w:r>
              <w:rPr>
                <w:rFonts w:hint="eastAsia" w:ascii="仿宋" w:hAnsi="仿宋" w:eastAsia="仿宋" w:cs="仿宋"/>
              </w:rPr>
              <w:t>采纳</w:t>
            </w:r>
          </w:p>
        </w:tc>
        <w:tc>
          <w:tcPr>
            <w:tcW w:w="4125" w:type="dxa"/>
            <w:vAlign w:val="center"/>
          </w:tcPr>
          <w:p>
            <w:pPr>
              <w:ind w:firstLine="0" w:firstLineChars="0"/>
              <w:rPr>
                <w:rFonts w:hint="eastAsia" w:ascii="仿宋" w:hAnsi="仿宋" w:eastAsia="仿宋" w:cs="仿宋"/>
              </w:rPr>
            </w:pPr>
            <w:r>
              <w:rPr>
                <w:rFonts w:hint="eastAsia" w:ascii="仿宋" w:hAnsi="仿宋" w:eastAsia="仿宋" w:cs="仿宋"/>
              </w:rPr>
              <w:t>根据建议作出相应修改：已经删除。市级</w:t>
            </w:r>
            <w:r>
              <w:rPr>
                <w:rFonts w:ascii="仿宋" w:hAnsi="仿宋" w:eastAsia="仿宋" w:cs="仿宋"/>
              </w:rPr>
              <w:t>层面正在</w:t>
            </w:r>
            <w:r>
              <w:rPr>
                <w:rFonts w:hint="eastAsia" w:ascii="仿宋" w:hAnsi="仿宋" w:eastAsia="仿宋" w:cs="仿宋"/>
              </w:rPr>
              <w:t>规划</w:t>
            </w:r>
            <w:r>
              <w:rPr>
                <w:rFonts w:ascii="仿宋" w:hAnsi="仿宋" w:eastAsia="仿宋" w:cs="仿宋"/>
              </w:rPr>
              <w:t>研究建立</w:t>
            </w:r>
            <w:r>
              <w:rPr>
                <w:rFonts w:hint="eastAsia" w:ascii="仿宋" w:hAnsi="仿宋" w:eastAsia="仿宋" w:cs="仿宋"/>
              </w:rPr>
              <w:t>“</w:t>
            </w:r>
            <w:r>
              <w:rPr>
                <w:rFonts w:ascii="仿宋" w:hAnsi="仿宋" w:eastAsia="仿宋" w:cs="仿宋"/>
              </w:rPr>
              <w:t>长江口国家</w:t>
            </w:r>
            <w:r>
              <w:rPr>
                <w:rFonts w:hint="eastAsia" w:ascii="仿宋" w:hAnsi="仿宋" w:eastAsia="仿宋" w:cs="仿宋"/>
              </w:rPr>
              <w:t>公园”，公园范围</w:t>
            </w:r>
            <w:r>
              <w:rPr>
                <w:rFonts w:ascii="仿宋" w:hAnsi="仿宋" w:eastAsia="仿宋" w:cs="仿宋"/>
              </w:rPr>
              <w:t>可能会涉及崇明，</w:t>
            </w:r>
            <w:r>
              <w:rPr>
                <w:rFonts w:hint="eastAsia" w:ascii="仿宋" w:hAnsi="仿宋" w:eastAsia="仿宋" w:cs="仿宋"/>
              </w:rPr>
              <w:t>但</w:t>
            </w:r>
            <w:r>
              <w:rPr>
                <w:rFonts w:ascii="仿宋" w:hAnsi="仿宋" w:eastAsia="仿宋" w:cs="仿宋"/>
              </w:rPr>
              <w:t>具体尚未</w:t>
            </w:r>
            <w:r>
              <w:rPr>
                <w:rFonts w:hint="eastAsia" w:ascii="仿宋" w:hAnsi="仿宋" w:eastAsia="仿宋" w:cs="仿宋"/>
              </w:rPr>
              <w:t>明确，且没有相关</w:t>
            </w:r>
            <w:r>
              <w:rPr>
                <w:rFonts w:ascii="仿宋" w:hAnsi="仿宋" w:eastAsia="仿宋" w:cs="仿宋"/>
              </w:rPr>
              <w:t>任务落实到</w:t>
            </w:r>
            <w:r>
              <w:rPr>
                <w:rFonts w:hint="eastAsia" w:ascii="仿宋" w:hAnsi="仿宋" w:eastAsia="仿宋" w:cs="仿宋"/>
              </w:rPr>
              <w:t>崇明</w:t>
            </w:r>
            <w:r>
              <w:rPr>
                <w:rFonts w:ascii="仿宋" w:hAnsi="仿宋" w:eastAsia="仿宋" w:cs="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763" w:type="dxa"/>
            <w:vAlign w:val="center"/>
          </w:tcPr>
          <w:p>
            <w:pPr>
              <w:ind w:firstLine="0" w:firstLineChars="0"/>
              <w:jc w:val="center"/>
            </w:pPr>
            <w:r>
              <w:rPr>
                <w:rFonts w:hint="eastAsia"/>
              </w:rPr>
              <w:t>5</w:t>
            </w:r>
          </w:p>
        </w:tc>
        <w:tc>
          <w:tcPr>
            <w:tcW w:w="3165" w:type="dxa"/>
            <w:vAlign w:val="center"/>
          </w:tcPr>
          <w:p>
            <w:pPr>
              <w:ind w:firstLine="0" w:firstLineChars="0"/>
              <w:jc w:val="both"/>
              <w:rPr>
                <w:rFonts w:ascii="仿宋" w:hAnsi="仿宋" w:eastAsia="仿宋" w:cs="仿宋"/>
              </w:rPr>
            </w:pPr>
            <w:r>
              <w:rPr>
                <w:rFonts w:hint="eastAsia" w:ascii="仿宋" w:hAnsi="仿宋" w:eastAsia="仿宋" w:cs="仿宋"/>
              </w:rPr>
              <w:t>建议将“构建以国家公园为主体的自然保护地体系”修改为“按照相关法律规定构建自然保护地体系”。</w:t>
            </w:r>
          </w:p>
        </w:tc>
        <w:tc>
          <w:tcPr>
            <w:tcW w:w="1245" w:type="dxa"/>
            <w:vAlign w:val="center"/>
          </w:tcPr>
          <w:p>
            <w:pPr>
              <w:ind w:firstLine="0" w:firstLineChars="0"/>
              <w:jc w:val="center"/>
              <w:rPr>
                <w:rFonts w:ascii="仿宋" w:hAnsi="仿宋" w:eastAsia="仿宋" w:cs="仿宋"/>
              </w:rPr>
            </w:pPr>
            <w:r>
              <w:rPr>
                <w:rFonts w:hint="eastAsia" w:ascii="仿宋" w:hAnsi="仿宋" w:eastAsia="仿宋" w:cs="仿宋"/>
              </w:rPr>
              <w:t>采纳</w:t>
            </w:r>
          </w:p>
        </w:tc>
        <w:tc>
          <w:tcPr>
            <w:tcW w:w="4125" w:type="dxa"/>
            <w:vAlign w:val="center"/>
          </w:tcPr>
          <w:p>
            <w:pPr>
              <w:ind w:firstLine="0" w:firstLineChars="0"/>
              <w:rPr>
                <w:rFonts w:ascii="仿宋" w:hAnsi="仿宋" w:eastAsia="仿宋" w:cs="仿宋"/>
              </w:rPr>
            </w:pPr>
            <w:r>
              <w:rPr>
                <w:rFonts w:hint="eastAsia" w:ascii="仿宋" w:hAnsi="仿宋" w:eastAsia="仿宋" w:cs="仿宋"/>
              </w:rPr>
              <w:t>按照建议修改。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763" w:type="dxa"/>
            <w:vAlign w:val="center"/>
          </w:tcPr>
          <w:p>
            <w:pPr>
              <w:ind w:firstLine="0" w:firstLineChars="0"/>
              <w:jc w:val="center"/>
            </w:pPr>
            <w:r>
              <w:rPr>
                <w:rFonts w:hint="eastAsia"/>
              </w:rPr>
              <w:t>6</w:t>
            </w:r>
          </w:p>
        </w:tc>
        <w:tc>
          <w:tcPr>
            <w:tcW w:w="3165" w:type="dxa"/>
            <w:vAlign w:val="center"/>
          </w:tcPr>
          <w:p>
            <w:pPr>
              <w:ind w:firstLine="0" w:firstLineChars="0"/>
              <w:jc w:val="both"/>
              <w:rPr>
                <w:rFonts w:ascii="仿宋" w:hAnsi="仿宋" w:eastAsia="仿宋" w:cs="仿宋"/>
              </w:rPr>
            </w:pPr>
            <w:r>
              <w:rPr>
                <w:rFonts w:hint="eastAsia" w:ascii="仿宋" w:hAnsi="仿宋" w:eastAsia="仿宋" w:cs="仿宋"/>
              </w:rPr>
              <w:t>建议对“加强生物多样性保护”部分的内容进行修改。</w:t>
            </w:r>
          </w:p>
        </w:tc>
        <w:tc>
          <w:tcPr>
            <w:tcW w:w="1245" w:type="dxa"/>
            <w:vAlign w:val="center"/>
          </w:tcPr>
          <w:p>
            <w:pPr>
              <w:ind w:firstLine="0" w:firstLineChars="0"/>
              <w:jc w:val="center"/>
              <w:rPr>
                <w:rFonts w:ascii="仿宋" w:hAnsi="仿宋" w:eastAsia="仿宋" w:cs="仿宋"/>
              </w:rPr>
            </w:pPr>
            <w:r>
              <w:rPr>
                <w:rFonts w:hint="eastAsia" w:ascii="仿宋" w:hAnsi="仿宋" w:eastAsia="仿宋" w:cs="仿宋"/>
              </w:rPr>
              <w:t>采纳</w:t>
            </w:r>
          </w:p>
        </w:tc>
        <w:tc>
          <w:tcPr>
            <w:tcW w:w="4125" w:type="dxa"/>
            <w:vAlign w:val="center"/>
          </w:tcPr>
          <w:p>
            <w:pPr>
              <w:ind w:firstLine="0" w:firstLineChars="0"/>
              <w:rPr>
                <w:rFonts w:hint="eastAsia" w:ascii="仿宋" w:hAnsi="仿宋" w:eastAsia="仿宋" w:cs="仿宋"/>
              </w:rPr>
            </w:pPr>
            <w:r>
              <w:rPr>
                <w:rFonts w:hint="eastAsia" w:ascii="仿宋" w:hAnsi="仿宋" w:eastAsia="仿宋" w:cs="仿宋"/>
              </w:rPr>
              <w:t>根据建议作出相应修改。并增加了贯彻</w:t>
            </w:r>
            <w:r>
              <w:rPr>
                <w:rFonts w:ascii="仿宋" w:hAnsi="仿宋" w:eastAsia="仿宋" w:cs="仿宋"/>
              </w:rPr>
              <w:t>落实</w:t>
            </w:r>
            <w:r>
              <w:rPr>
                <w:rFonts w:hint="eastAsia" w:ascii="仿宋" w:hAnsi="仿宋" w:eastAsia="仿宋" w:cs="仿宋"/>
              </w:rPr>
              <w:t>国家《</w:t>
            </w:r>
            <w:r>
              <w:rPr>
                <w:rFonts w:ascii="仿宋" w:hAnsi="仿宋" w:eastAsia="仿宋" w:cs="仿宋"/>
              </w:rPr>
              <w:t>生物安全法</w:t>
            </w:r>
            <w:r>
              <w:rPr>
                <w:rFonts w:hint="eastAsia" w:ascii="仿宋" w:hAnsi="仿宋" w:eastAsia="仿宋" w:cs="仿宋"/>
              </w:rPr>
              <w:t>》</w:t>
            </w:r>
            <w:r>
              <w:rPr>
                <w:rFonts w:ascii="仿宋" w:hAnsi="仿宋" w:eastAsia="仿宋" w:cs="仿宋"/>
              </w:rPr>
              <w:t>内容</w:t>
            </w:r>
            <w:r>
              <w:rPr>
                <w:rFonts w:hint="eastAsia" w:ascii="仿宋" w:hAnsi="仿宋" w:eastAsia="仿宋" w:cs="仿宋"/>
              </w:rPr>
              <w:t>，</w:t>
            </w:r>
            <w:r>
              <w:rPr>
                <w:rFonts w:ascii="仿宋" w:hAnsi="仿宋" w:eastAsia="仿宋" w:cs="仿宋"/>
              </w:rPr>
              <w:t>该法于</w:t>
            </w:r>
            <w:r>
              <w:rPr>
                <w:rFonts w:hint="eastAsia" w:ascii="仿宋" w:hAnsi="仿宋" w:eastAsia="仿宋" w:cs="仿宋"/>
              </w:rPr>
              <w:t>2021年4月15日正式</w:t>
            </w:r>
            <w:r>
              <w:rPr>
                <w:rFonts w:ascii="仿宋" w:hAnsi="仿宋" w:eastAsia="仿宋" w:cs="仿宋"/>
              </w:rPr>
              <w:t>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763" w:type="dxa"/>
            <w:vAlign w:val="center"/>
          </w:tcPr>
          <w:p>
            <w:pPr>
              <w:ind w:firstLine="0" w:firstLineChars="0"/>
              <w:jc w:val="center"/>
            </w:pPr>
            <w:r>
              <w:rPr>
                <w:rFonts w:hint="eastAsia"/>
              </w:rPr>
              <w:t>7</w:t>
            </w:r>
          </w:p>
        </w:tc>
        <w:tc>
          <w:tcPr>
            <w:tcW w:w="3165" w:type="dxa"/>
            <w:vAlign w:val="center"/>
          </w:tcPr>
          <w:p>
            <w:pPr>
              <w:ind w:firstLine="0" w:firstLineChars="0"/>
              <w:jc w:val="both"/>
              <w:rPr>
                <w:rFonts w:ascii="仿宋" w:hAnsi="仿宋" w:eastAsia="仿宋" w:cs="仿宋"/>
              </w:rPr>
            </w:pPr>
            <w:r>
              <w:rPr>
                <w:rFonts w:hint="eastAsia" w:ascii="仿宋" w:hAnsi="仿宋" w:eastAsia="仿宋" w:cs="仿宋"/>
              </w:rPr>
              <w:t>“着力加强固废资源化利用水平”表述似有语病。</w:t>
            </w:r>
          </w:p>
        </w:tc>
        <w:tc>
          <w:tcPr>
            <w:tcW w:w="1245" w:type="dxa"/>
            <w:vAlign w:val="center"/>
          </w:tcPr>
          <w:p>
            <w:pPr>
              <w:ind w:firstLine="0" w:firstLineChars="0"/>
              <w:jc w:val="center"/>
              <w:rPr>
                <w:rFonts w:ascii="仿宋" w:hAnsi="仿宋" w:eastAsia="仿宋" w:cs="仿宋"/>
              </w:rPr>
            </w:pPr>
            <w:r>
              <w:rPr>
                <w:rFonts w:hint="eastAsia" w:ascii="仿宋" w:hAnsi="仿宋" w:eastAsia="仿宋" w:cs="仿宋"/>
              </w:rPr>
              <w:t>采纳</w:t>
            </w:r>
          </w:p>
        </w:tc>
        <w:tc>
          <w:tcPr>
            <w:tcW w:w="4125" w:type="dxa"/>
            <w:vAlign w:val="center"/>
          </w:tcPr>
          <w:p>
            <w:pPr>
              <w:ind w:firstLine="0" w:firstLineChars="0"/>
              <w:rPr>
                <w:rFonts w:ascii="仿宋" w:hAnsi="仿宋" w:eastAsia="仿宋" w:cs="仿宋"/>
              </w:rPr>
            </w:pPr>
            <w:r>
              <w:rPr>
                <w:rFonts w:hint="eastAsia" w:ascii="仿宋" w:hAnsi="仿宋" w:eastAsia="仿宋" w:cs="仿宋"/>
              </w:rPr>
              <w:t>根据建议作出相应修改。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763" w:type="dxa"/>
            <w:vAlign w:val="center"/>
          </w:tcPr>
          <w:p>
            <w:pPr>
              <w:ind w:firstLine="0" w:firstLineChars="0"/>
              <w:jc w:val="center"/>
            </w:pPr>
            <w:r>
              <w:rPr>
                <w:rFonts w:hint="eastAsia"/>
              </w:rPr>
              <w:t>8</w:t>
            </w:r>
          </w:p>
        </w:tc>
        <w:tc>
          <w:tcPr>
            <w:tcW w:w="3165" w:type="dxa"/>
            <w:vAlign w:val="center"/>
          </w:tcPr>
          <w:p>
            <w:pPr>
              <w:ind w:firstLine="0" w:firstLineChars="0"/>
              <w:jc w:val="both"/>
              <w:rPr>
                <w:rFonts w:ascii="仿宋" w:hAnsi="仿宋" w:eastAsia="仿宋" w:cs="仿宋"/>
              </w:rPr>
            </w:pPr>
            <w:r>
              <w:rPr>
                <w:rFonts w:hint="eastAsia" w:ascii="仿宋" w:hAnsi="仿宋" w:eastAsia="仿宋" w:cs="仿宋"/>
              </w:rPr>
              <w:t>“畅通和规范群众诉求表达、利益协调、权益保障通道”，此句表述有语病。</w:t>
            </w:r>
          </w:p>
        </w:tc>
        <w:tc>
          <w:tcPr>
            <w:tcW w:w="1245" w:type="dxa"/>
            <w:vAlign w:val="center"/>
          </w:tcPr>
          <w:p>
            <w:pPr>
              <w:ind w:firstLine="0" w:firstLineChars="0"/>
              <w:jc w:val="center"/>
              <w:rPr>
                <w:rFonts w:ascii="仿宋" w:hAnsi="仿宋" w:eastAsia="仿宋" w:cs="仿宋"/>
              </w:rPr>
            </w:pPr>
            <w:r>
              <w:rPr>
                <w:rFonts w:hint="eastAsia" w:ascii="仿宋" w:hAnsi="仿宋" w:eastAsia="仿宋" w:cs="仿宋"/>
              </w:rPr>
              <w:t>采纳</w:t>
            </w:r>
          </w:p>
        </w:tc>
        <w:tc>
          <w:tcPr>
            <w:tcW w:w="4125" w:type="dxa"/>
            <w:vAlign w:val="center"/>
          </w:tcPr>
          <w:p>
            <w:pPr>
              <w:ind w:firstLine="0" w:firstLineChars="0"/>
              <w:jc w:val="left"/>
              <w:rPr>
                <w:rFonts w:ascii="仿宋" w:hAnsi="仿宋" w:eastAsia="仿宋" w:cs="仿宋"/>
              </w:rPr>
            </w:pPr>
            <w:r>
              <w:rPr>
                <w:rFonts w:hint="eastAsia" w:ascii="仿宋" w:hAnsi="仿宋" w:eastAsia="仿宋" w:cs="仿宋"/>
              </w:rPr>
              <w:t>根据建议作出相应修改。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trPr>
        <w:tc>
          <w:tcPr>
            <w:tcW w:w="763" w:type="dxa"/>
            <w:vAlign w:val="center"/>
          </w:tcPr>
          <w:p>
            <w:pPr>
              <w:ind w:firstLine="0" w:firstLineChars="0"/>
              <w:jc w:val="center"/>
            </w:pPr>
            <w:r>
              <w:rPr>
                <w:rFonts w:hint="eastAsia"/>
              </w:rPr>
              <w:t>9</w:t>
            </w:r>
          </w:p>
        </w:tc>
        <w:tc>
          <w:tcPr>
            <w:tcW w:w="3165" w:type="dxa"/>
            <w:vAlign w:val="center"/>
          </w:tcPr>
          <w:p>
            <w:pPr>
              <w:ind w:firstLine="0" w:firstLineChars="0"/>
              <w:jc w:val="both"/>
              <w:rPr>
                <w:rFonts w:ascii="仿宋" w:hAnsi="仿宋" w:eastAsia="仿宋" w:cs="仿宋"/>
              </w:rPr>
            </w:pPr>
            <w:r>
              <w:rPr>
                <w:rFonts w:hint="eastAsia" w:ascii="仿宋" w:hAnsi="仿宋" w:eastAsia="仿宋" w:cs="仿宋"/>
              </w:rPr>
              <w:t>“完善绿色金融机制”部分对“绿色金融”概念使用不规范，与现行规范性文件的界定不一致。</w:t>
            </w:r>
          </w:p>
        </w:tc>
        <w:tc>
          <w:tcPr>
            <w:tcW w:w="1245" w:type="dxa"/>
            <w:vAlign w:val="center"/>
          </w:tcPr>
          <w:p>
            <w:pPr>
              <w:ind w:firstLine="0" w:firstLineChars="0"/>
              <w:jc w:val="center"/>
              <w:rPr>
                <w:rFonts w:ascii="仿宋" w:hAnsi="仿宋" w:eastAsia="仿宋" w:cs="仿宋"/>
              </w:rPr>
            </w:pPr>
            <w:r>
              <w:rPr>
                <w:rFonts w:hint="eastAsia" w:ascii="仿宋" w:hAnsi="仿宋" w:eastAsia="仿宋" w:cs="仿宋"/>
              </w:rPr>
              <w:t>采纳</w:t>
            </w:r>
          </w:p>
        </w:tc>
        <w:tc>
          <w:tcPr>
            <w:tcW w:w="4125" w:type="dxa"/>
            <w:vAlign w:val="center"/>
          </w:tcPr>
          <w:p>
            <w:pPr>
              <w:ind w:firstLine="0" w:firstLineChars="0"/>
              <w:jc w:val="left"/>
              <w:rPr>
                <w:rFonts w:hint="eastAsia" w:ascii="仿宋" w:hAnsi="仿宋" w:eastAsia="仿宋" w:cs="仿宋"/>
              </w:rPr>
            </w:pPr>
            <w:r>
              <w:rPr>
                <w:rFonts w:hint="eastAsia" w:ascii="仿宋" w:hAnsi="仿宋" w:eastAsia="仿宋" w:cs="仿宋"/>
              </w:rPr>
              <w:t>根据建议作出相应修改。</w:t>
            </w:r>
            <w:r>
              <w:rPr>
                <w:rFonts w:ascii="仿宋" w:hAnsi="仿宋" w:eastAsia="仿宋" w:cs="仿宋"/>
              </w:rPr>
              <w:t>进一步调整了</w:t>
            </w:r>
            <w:r>
              <w:rPr>
                <w:rFonts w:hint="eastAsia" w:ascii="仿宋" w:hAnsi="仿宋" w:eastAsia="仿宋" w:cs="仿宋"/>
              </w:rPr>
              <w:t>本章节标题</w:t>
            </w:r>
            <w:r>
              <w:rPr>
                <w:rFonts w:ascii="仿宋" w:hAnsi="仿宋" w:eastAsia="仿宋" w:cs="仿宋"/>
              </w:rPr>
              <w:t>和内容</w:t>
            </w:r>
            <w:r>
              <w:rPr>
                <w:rFonts w:hint="eastAsia" w:ascii="仿宋" w:hAnsi="仿宋" w:eastAsia="仿宋" w:cs="仿宋"/>
              </w:rPr>
              <w:t>，将标题</w:t>
            </w:r>
            <w:r>
              <w:rPr>
                <w:rFonts w:ascii="仿宋" w:hAnsi="仿宋" w:eastAsia="仿宋" w:cs="仿宋"/>
              </w:rPr>
              <w:t>“</w:t>
            </w:r>
            <w:r>
              <w:rPr>
                <w:rFonts w:hint="eastAsia" w:ascii="仿宋" w:hAnsi="仿宋" w:eastAsia="仿宋" w:cs="仿宋"/>
              </w:rPr>
              <w:t>完善</w:t>
            </w:r>
            <w:r>
              <w:rPr>
                <w:rFonts w:ascii="仿宋" w:hAnsi="仿宋" w:eastAsia="仿宋" w:cs="仿宋"/>
              </w:rPr>
              <w:t>生态文明</w:t>
            </w:r>
            <w:r>
              <w:rPr>
                <w:rFonts w:hint="eastAsia" w:ascii="仿宋" w:hAnsi="仿宋" w:eastAsia="仿宋" w:cs="仿宋"/>
              </w:rPr>
              <w:t>制度体系</w:t>
            </w:r>
            <w:r>
              <w:rPr>
                <w:rFonts w:ascii="仿宋" w:hAnsi="仿宋" w:eastAsia="仿宋" w:cs="仿宋"/>
              </w:rPr>
              <w:t>”</w:t>
            </w:r>
            <w:r>
              <w:rPr>
                <w:rFonts w:hint="eastAsia" w:ascii="仿宋" w:hAnsi="仿宋" w:eastAsia="仿宋" w:cs="仿宋"/>
              </w:rPr>
              <w:t>修改为</w:t>
            </w:r>
            <w:r>
              <w:rPr>
                <w:rFonts w:ascii="仿宋" w:hAnsi="仿宋" w:eastAsia="仿宋" w:cs="仿宋"/>
              </w:rPr>
              <w:t>“</w:t>
            </w:r>
            <w:r>
              <w:rPr>
                <w:rFonts w:hint="eastAsia" w:ascii="仿宋" w:hAnsi="仿宋" w:eastAsia="仿宋" w:cs="仿宋"/>
              </w:rPr>
              <w:t>规范生态环境治理市场体系</w:t>
            </w:r>
            <w:r>
              <w:rPr>
                <w:rFonts w:ascii="仿宋" w:hAnsi="仿宋" w:eastAsia="仿宋" w:cs="仿宋"/>
              </w:rPr>
              <w:t>”</w:t>
            </w:r>
            <w:r>
              <w:rPr>
                <w:rFonts w:hint="eastAsia" w:ascii="仿宋" w:hAnsi="仿宋" w:eastAsia="仿宋" w:cs="仿宋"/>
              </w:rPr>
              <w:t>，</w:t>
            </w:r>
            <w:r>
              <w:rPr>
                <w:rFonts w:ascii="仿宋" w:hAnsi="仿宋" w:eastAsia="仿宋" w:cs="仿宋"/>
              </w:rPr>
              <w:t>以更好匹配</w:t>
            </w:r>
            <w:r>
              <w:rPr>
                <w:rFonts w:hint="eastAsia" w:ascii="仿宋" w:hAnsi="仿宋" w:eastAsia="仿宋" w:cs="仿宋"/>
              </w:rPr>
              <w:t>规划整体内容</w:t>
            </w:r>
            <w:r>
              <w:rPr>
                <w:rFonts w:ascii="仿宋" w:hAnsi="仿宋" w:eastAsia="仿宋" w:cs="仿宋"/>
              </w:rPr>
              <w:t>结构设置</w:t>
            </w:r>
            <w:r>
              <w:rPr>
                <w:rFonts w:hint="eastAsia" w:ascii="仿宋" w:hAnsi="仿宋" w:eastAsia="仿宋" w:cs="仿宋"/>
              </w:rPr>
              <w:t>。结合</w:t>
            </w:r>
            <w:r>
              <w:rPr>
                <w:rFonts w:ascii="仿宋" w:hAnsi="仿宋" w:eastAsia="仿宋" w:cs="仿宋"/>
              </w:rPr>
              <w:t>市</w:t>
            </w:r>
            <w:r>
              <w:rPr>
                <w:rFonts w:hint="eastAsia" w:ascii="仿宋" w:hAnsi="仿宋" w:eastAsia="仿宋" w:cs="仿宋"/>
              </w:rPr>
              <w:t>生态环境</w:t>
            </w:r>
            <w:r>
              <w:rPr>
                <w:rFonts w:hint="eastAsia" w:ascii="仿宋" w:hAnsi="仿宋" w:eastAsia="仿宋" w:cs="仿宋"/>
                <w:lang w:eastAsia="zh-CN"/>
              </w:rPr>
              <w:t>“</w:t>
            </w:r>
            <w:r>
              <w:rPr>
                <w:rFonts w:ascii="仿宋" w:hAnsi="仿宋" w:eastAsia="仿宋" w:cs="仿宋"/>
              </w:rPr>
              <w:t>十四五</w:t>
            </w:r>
            <w:r>
              <w:rPr>
                <w:rFonts w:hint="eastAsia" w:ascii="仿宋" w:hAnsi="仿宋" w:eastAsia="仿宋" w:cs="仿宋"/>
                <w:lang w:eastAsia="zh-CN"/>
              </w:rPr>
              <w:t>”</w:t>
            </w:r>
            <w:r>
              <w:rPr>
                <w:rFonts w:hint="eastAsia" w:ascii="仿宋" w:hAnsi="仿宋" w:eastAsia="仿宋" w:cs="仿宋"/>
              </w:rPr>
              <w:t>规划，将</w:t>
            </w:r>
            <w:r>
              <w:rPr>
                <w:rFonts w:ascii="仿宋" w:hAnsi="仿宋" w:eastAsia="仿宋" w:cs="仿宋"/>
              </w:rPr>
              <w:t>具体内容</w:t>
            </w:r>
            <w:r>
              <w:rPr>
                <w:rFonts w:hint="eastAsia" w:ascii="仿宋" w:hAnsi="仿宋" w:eastAsia="仿宋" w:cs="仿宋"/>
              </w:rPr>
              <w:t>调整为：规范环境治理市场体系、强化环境</w:t>
            </w:r>
            <w:r>
              <w:rPr>
                <w:rFonts w:ascii="仿宋" w:hAnsi="仿宋" w:eastAsia="仿宋" w:cs="仿宋"/>
              </w:rPr>
              <w:t>经济</w:t>
            </w:r>
            <w:r>
              <w:rPr>
                <w:rFonts w:hint="eastAsia" w:ascii="仿宋" w:hAnsi="仿宋" w:eastAsia="仿宋" w:cs="仿宋"/>
              </w:rPr>
              <w:t>调节</w:t>
            </w:r>
            <w:r>
              <w:rPr>
                <w:rFonts w:ascii="仿宋" w:hAnsi="仿宋" w:eastAsia="仿宋" w:cs="仿宋"/>
              </w:rPr>
              <w:t>政策</w:t>
            </w:r>
            <w:r>
              <w:rPr>
                <w:rFonts w:hint="eastAsia" w:ascii="仿宋" w:hAnsi="仿宋" w:eastAsia="仿宋" w:cs="仿宋"/>
              </w:rPr>
              <w:t>、健全环保多方投入机制三方面</w:t>
            </w:r>
            <w:r>
              <w:rPr>
                <w:rFonts w:ascii="仿宋" w:hAnsi="仿宋" w:eastAsia="仿宋" w:cs="仿宋"/>
              </w:rPr>
              <w:t>，</w:t>
            </w:r>
            <w:r>
              <w:rPr>
                <w:rFonts w:hint="eastAsia" w:ascii="仿宋" w:hAnsi="仿宋" w:eastAsia="仿宋" w:cs="仿宋"/>
              </w:rPr>
              <w:t>同时</w:t>
            </w:r>
            <w:r>
              <w:rPr>
                <w:rFonts w:ascii="仿宋" w:hAnsi="仿宋" w:eastAsia="仿宋" w:cs="仿宋"/>
              </w:rPr>
              <w:t>也根据建议</w:t>
            </w:r>
            <w:r>
              <w:rPr>
                <w:rFonts w:hint="eastAsia" w:ascii="仿宋" w:hAnsi="仿宋" w:eastAsia="仿宋" w:cs="仿宋"/>
              </w:rPr>
              <w:t>理顺了“绿色金融”相关</w:t>
            </w:r>
            <w:r>
              <w:rPr>
                <w:rFonts w:ascii="仿宋" w:hAnsi="仿宋" w:eastAsia="仿宋" w:cs="仿宋"/>
              </w:rPr>
              <w:t>概念</w:t>
            </w:r>
            <w:r>
              <w:rPr>
                <w:rFonts w:hint="eastAsia" w:ascii="仿宋" w:hAnsi="仿宋" w:eastAsia="仿宋" w:cs="仿宋"/>
              </w:rPr>
              <w:t>及其表述</w:t>
            </w:r>
            <w:r>
              <w:rPr>
                <w:rFonts w:ascii="仿宋" w:hAnsi="仿宋" w:eastAsia="仿宋" w:cs="仿宋"/>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763" w:type="dxa"/>
            <w:vAlign w:val="center"/>
          </w:tcPr>
          <w:p>
            <w:pPr>
              <w:ind w:firstLine="0" w:firstLineChars="0"/>
              <w:jc w:val="center"/>
            </w:pPr>
            <w:r>
              <w:rPr>
                <w:rFonts w:hint="eastAsia"/>
              </w:rPr>
              <w:t>10</w:t>
            </w:r>
          </w:p>
        </w:tc>
        <w:tc>
          <w:tcPr>
            <w:tcW w:w="3165" w:type="dxa"/>
            <w:vAlign w:val="center"/>
          </w:tcPr>
          <w:p>
            <w:pPr>
              <w:ind w:firstLine="0" w:firstLineChars="0"/>
              <w:jc w:val="both"/>
              <w:rPr>
                <w:rFonts w:ascii="仿宋" w:hAnsi="仿宋" w:eastAsia="仿宋" w:cs="仿宋"/>
              </w:rPr>
            </w:pPr>
            <w:r>
              <w:rPr>
                <w:rFonts w:hint="eastAsia" w:ascii="仿宋" w:hAnsi="仿宋" w:eastAsia="仿宋" w:cs="仿宋"/>
              </w:rPr>
              <w:t>“完善应急防控体系”部分内容有欠缺。</w:t>
            </w:r>
          </w:p>
        </w:tc>
        <w:tc>
          <w:tcPr>
            <w:tcW w:w="1245" w:type="dxa"/>
            <w:vAlign w:val="center"/>
          </w:tcPr>
          <w:p>
            <w:pPr>
              <w:ind w:firstLine="0" w:firstLineChars="0"/>
              <w:jc w:val="center"/>
              <w:rPr>
                <w:rFonts w:ascii="仿宋" w:hAnsi="仿宋" w:eastAsia="仿宋" w:cs="仿宋"/>
              </w:rPr>
            </w:pPr>
            <w:r>
              <w:rPr>
                <w:rFonts w:hint="eastAsia" w:ascii="仿宋" w:hAnsi="仿宋" w:eastAsia="仿宋" w:cs="仿宋"/>
              </w:rPr>
              <w:t>采纳</w:t>
            </w:r>
          </w:p>
        </w:tc>
        <w:tc>
          <w:tcPr>
            <w:tcW w:w="4125" w:type="dxa"/>
            <w:vAlign w:val="center"/>
          </w:tcPr>
          <w:p>
            <w:pPr>
              <w:ind w:firstLine="0" w:firstLineChars="0"/>
              <w:jc w:val="left"/>
              <w:rPr>
                <w:rFonts w:hint="eastAsia" w:ascii="仿宋" w:hAnsi="仿宋" w:eastAsia="仿宋" w:cs="仿宋"/>
              </w:rPr>
            </w:pPr>
            <w:r>
              <w:rPr>
                <w:rFonts w:hint="eastAsia" w:ascii="仿宋" w:hAnsi="仿宋" w:eastAsia="仿宋" w:cs="仿宋"/>
              </w:rPr>
              <w:t>根据建议作出相应修改。增加了建立健全全区、园区和重点企事业单位的突发环境事件应急预案相关</w:t>
            </w:r>
            <w:r>
              <w:rPr>
                <w:rFonts w:ascii="仿宋" w:hAnsi="仿宋" w:eastAsia="仿宋" w:cs="仿宋"/>
              </w:rPr>
              <w:t>内容。</w:t>
            </w:r>
          </w:p>
        </w:tc>
      </w:tr>
    </w:tbl>
    <w:p>
      <w:pPr>
        <w:ind w:firstLine="480"/>
      </w:pPr>
    </w:p>
    <w:p>
      <w:pPr>
        <w:pStyle w:val="2"/>
        <w:ind w:firstLine="640"/>
        <w:jc w:val="right"/>
        <w:rPr>
          <w:rFonts w:ascii="仿宋_GB2312" w:hAnsi="仿宋_GB2312" w:eastAsia="仿宋_GB2312" w:cs="仿宋_GB2312"/>
          <w:sz w:val="32"/>
          <w:szCs w:val="32"/>
        </w:rPr>
      </w:pPr>
    </w:p>
    <w:p>
      <w:pPr>
        <w:ind w:firstLine="64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上海市崇明区生态环境局</w:t>
      </w:r>
    </w:p>
    <w:p>
      <w:pPr>
        <w:pStyle w:val="2"/>
        <w:ind w:firstLine="64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2021年6月21日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8350A1"/>
    <w:multiLevelType w:val="multilevel"/>
    <w:tmpl w:val="298350A1"/>
    <w:lvl w:ilvl="0" w:tentative="0">
      <w:start w:val="1"/>
      <w:numFmt w:val="chineseCountingThousand"/>
      <w:pStyle w:val="3"/>
      <w:lvlText w:val="%1、"/>
      <w:lvlJc w:val="left"/>
      <w:pPr>
        <w:ind w:left="852" w:hanging="420"/>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
    <w:nsid w:val="43A25807"/>
    <w:multiLevelType w:val="multilevel"/>
    <w:tmpl w:val="43A25807"/>
    <w:lvl w:ilvl="0" w:tentative="0">
      <w:start w:val="1"/>
      <w:numFmt w:val="chineseCountingThousand"/>
      <w:pStyle w:val="4"/>
      <w:lvlText w:val="(%1)"/>
      <w:lvlJc w:val="left"/>
      <w:pPr>
        <w:ind w:left="1860" w:hanging="420"/>
      </w:pPr>
    </w:lvl>
    <w:lvl w:ilvl="1" w:tentative="0">
      <w:start w:val="1"/>
      <w:numFmt w:val="lowerLetter"/>
      <w:lvlText w:val="%2)"/>
      <w:lvlJc w:val="left"/>
      <w:pPr>
        <w:ind w:left="2280" w:hanging="420"/>
      </w:pPr>
    </w:lvl>
    <w:lvl w:ilvl="2" w:tentative="0">
      <w:start w:val="1"/>
      <w:numFmt w:val="lowerRoman"/>
      <w:lvlText w:val="%3."/>
      <w:lvlJc w:val="right"/>
      <w:pPr>
        <w:ind w:left="2700" w:hanging="420"/>
      </w:pPr>
    </w:lvl>
    <w:lvl w:ilvl="3" w:tentative="0">
      <w:start w:val="1"/>
      <w:numFmt w:val="decimal"/>
      <w:lvlText w:val="%4."/>
      <w:lvlJc w:val="left"/>
      <w:pPr>
        <w:ind w:left="3120" w:hanging="420"/>
      </w:pPr>
    </w:lvl>
    <w:lvl w:ilvl="4" w:tentative="0">
      <w:start w:val="1"/>
      <w:numFmt w:val="lowerLetter"/>
      <w:lvlText w:val="%5)"/>
      <w:lvlJc w:val="left"/>
      <w:pPr>
        <w:ind w:left="3540" w:hanging="420"/>
      </w:pPr>
    </w:lvl>
    <w:lvl w:ilvl="5" w:tentative="0">
      <w:start w:val="1"/>
      <w:numFmt w:val="lowerRoman"/>
      <w:lvlText w:val="%6."/>
      <w:lvlJc w:val="right"/>
      <w:pPr>
        <w:ind w:left="3960" w:hanging="420"/>
      </w:pPr>
    </w:lvl>
    <w:lvl w:ilvl="6" w:tentative="0">
      <w:start w:val="1"/>
      <w:numFmt w:val="decimal"/>
      <w:lvlText w:val="%7."/>
      <w:lvlJc w:val="left"/>
      <w:pPr>
        <w:ind w:left="4380" w:hanging="420"/>
      </w:pPr>
    </w:lvl>
    <w:lvl w:ilvl="7" w:tentative="0">
      <w:start w:val="1"/>
      <w:numFmt w:val="lowerLetter"/>
      <w:lvlText w:val="%8)"/>
      <w:lvlJc w:val="left"/>
      <w:pPr>
        <w:ind w:left="4800" w:hanging="420"/>
      </w:pPr>
    </w:lvl>
    <w:lvl w:ilvl="8" w:tentative="0">
      <w:start w:val="1"/>
      <w:numFmt w:val="lowerRoman"/>
      <w:lvlText w:val="%9."/>
      <w:lvlJc w:val="right"/>
      <w:pPr>
        <w:ind w:left="5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7F5"/>
    <w:rsid w:val="001A4515"/>
    <w:rsid w:val="002777F5"/>
    <w:rsid w:val="002F6D3E"/>
    <w:rsid w:val="003F59E7"/>
    <w:rsid w:val="00517786"/>
    <w:rsid w:val="00541271"/>
    <w:rsid w:val="006740E6"/>
    <w:rsid w:val="006921BD"/>
    <w:rsid w:val="006A28D8"/>
    <w:rsid w:val="006B482C"/>
    <w:rsid w:val="007350C1"/>
    <w:rsid w:val="00803954"/>
    <w:rsid w:val="00913509"/>
    <w:rsid w:val="00A95509"/>
    <w:rsid w:val="00AE3527"/>
    <w:rsid w:val="00B84B45"/>
    <w:rsid w:val="00B96E8B"/>
    <w:rsid w:val="00C32ED2"/>
    <w:rsid w:val="04A73A49"/>
    <w:rsid w:val="0EE26AA4"/>
    <w:rsid w:val="3B8B5996"/>
    <w:rsid w:val="430E7056"/>
    <w:rsid w:val="4DD4664D"/>
    <w:rsid w:val="7A693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heme="minorHAnsi" w:hAnsiTheme="minorHAnsi" w:eastAsiaTheme="minorEastAsia" w:cstheme="minorBidi"/>
      <w:kern w:val="2"/>
      <w:sz w:val="24"/>
      <w:szCs w:val="22"/>
      <w:lang w:val="en-US" w:eastAsia="zh-CN" w:bidi="ar-SA"/>
    </w:rPr>
  </w:style>
  <w:style w:type="paragraph" w:styleId="3">
    <w:name w:val="heading 1"/>
    <w:basedOn w:val="1"/>
    <w:next w:val="1"/>
    <w:link w:val="10"/>
    <w:qFormat/>
    <w:uiPriority w:val="9"/>
    <w:pPr>
      <w:numPr>
        <w:ilvl w:val="0"/>
        <w:numId w:val="1"/>
      </w:numPr>
      <w:spacing w:line="240" w:lineRule="auto"/>
      <w:ind w:left="1411" w:hanging="720" w:firstLineChars="0"/>
      <w:jc w:val="left"/>
      <w:outlineLvl w:val="0"/>
    </w:pPr>
    <w:rPr>
      <w:rFonts w:ascii="Times New Roman" w:hAnsi="Times New Roman" w:eastAsia="黑体" w:cs="Times New Roman"/>
      <w:b/>
      <w:sz w:val="32"/>
      <w:szCs w:val="32"/>
    </w:rPr>
  </w:style>
  <w:style w:type="paragraph" w:styleId="4">
    <w:name w:val="heading 2"/>
    <w:basedOn w:val="1"/>
    <w:next w:val="1"/>
    <w:link w:val="11"/>
    <w:unhideWhenUsed/>
    <w:qFormat/>
    <w:uiPriority w:val="9"/>
    <w:pPr>
      <w:keepNext/>
      <w:keepLines/>
      <w:numPr>
        <w:ilvl w:val="0"/>
        <w:numId w:val="2"/>
      </w:numPr>
      <w:adjustRightInd w:val="0"/>
      <w:snapToGrid w:val="0"/>
      <w:spacing w:before="120" w:after="120" w:line="415" w:lineRule="auto"/>
      <w:ind w:left="0" w:firstLine="0" w:firstLineChars="0"/>
      <w:outlineLvl w:val="1"/>
    </w:pPr>
    <w:rPr>
      <w:rFonts w:eastAsia="黑体" w:asciiTheme="majorHAnsi" w:hAnsiTheme="majorHAnsi" w:cstheme="majorBidi"/>
      <w:b/>
      <w:bCs/>
      <w:sz w:val="30"/>
      <w:szCs w:val="32"/>
    </w:rPr>
  </w:style>
  <w:style w:type="paragraph" w:styleId="5">
    <w:name w:val="heading 3"/>
    <w:basedOn w:val="1"/>
    <w:next w:val="1"/>
    <w:link w:val="13"/>
    <w:unhideWhenUsed/>
    <w:qFormat/>
    <w:uiPriority w:val="9"/>
    <w:pPr>
      <w:keepNext/>
      <w:keepLines/>
      <w:spacing w:before="260" w:after="260" w:line="416" w:lineRule="auto"/>
      <w:ind w:left="1483" w:firstLine="0" w:firstLineChars="0"/>
      <w:outlineLvl w:val="2"/>
    </w:pPr>
    <w:rPr>
      <w:b/>
      <w:bCs/>
      <w:sz w:val="28"/>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unhideWhenUsed/>
    <w:qFormat/>
    <w:uiPriority w:val="99"/>
    <w:pPr>
      <w:tabs>
        <w:tab w:val="center" w:pos="4153"/>
        <w:tab w:val="right" w:pos="8306"/>
      </w:tabs>
      <w:snapToGrid w:val="0"/>
      <w:spacing w:line="240" w:lineRule="auto"/>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1 Char"/>
    <w:basedOn w:val="9"/>
    <w:link w:val="3"/>
    <w:qFormat/>
    <w:uiPriority w:val="9"/>
    <w:rPr>
      <w:rFonts w:ascii="Times New Roman" w:hAnsi="Times New Roman" w:eastAsia="黑体" w:cs="Times New Roman"/>
      <w:b/>
      <w:sz w:val="32"/>
      <w:szCs w:val="32"/>
    </w:rPr>
  </w:style>
  <w:style w:type="character" w:customStyle="1" w:styleId="11">
    <w:name w:val="标题 2 Char"/>
    <w:basedOn w:val="9"/>
    <w:link w:val="4"/>
    <w:qFormat/>
    <w:uiPriority w:val="9"/>
    <w:rPr>
      <w:rFonts w:eastAsia="黑体" w:asciiTheme="majorHAnsi" w:hAnsiTheme="majorHAnsi" w:cstheme="majorBidi"/>
      <w:b/>
      <w:bCs/>
      <w:sz w:val="30"/>
      <w:szCs w:val="32"/>
    </w:rPr>
  </w:style>
  <w:style w:type="paragraph" w:styleId="12">
    <w:name w:val="List Paragraph"/>
    <w:basedOn w:val="1"/>
    <w:qFormat/>
    <w:uiPriority w:val="34"/>
    <w:pPr>
      <w:ind w:firstLine="420"/>
    </w:pPr>
  </w:style>
  <w:style w:type="character" w:customStyle="1" w:styleId="13">
    <w:name w:val="标题 3 Char"/>
    <w:basedOn w:val="9"/>
    <w:link w:val="5"/>
    <w:qFormat/>
    <w:uiPriority w:val="9"/>
    <w:rPr>
      <w:b/>
      <w:bCs/>
      <w:sz w:val="28"/>
      <w:szCs w:val="32"/>
    </w:rPr>
  </w:style>
  <w:style w:type="character" w:customStyle="1" w:styleId="14">
    <w:name w:val="页眉 Char"/>
    <w:basedOn w:val="9"/>
    <w:link w:val="6"/>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196</Words>
  <Characters>1122</Characters>
  <Lines>9</Lines>
  <Paragraphs>2</Paragraphs>
  <TotalTime>3</TotalTime>
  <ScaleCrop>false</ScaleCrop>
  <LinksUpToDate>false</LinksUpToDate>
  <CharactersWithSpaces>1316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2021-06-18T09:11:00Z</dcterms:created>
  <dc:creator>黄宇驰</dc:creator>
  <cp:lastModifiedBy>桃之夭夭</cp:lastModifiedBy>
  <dcterms:modified xsi:type="dcterms:W3CDTF">2021-06-23T09:11:34Z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6B520FE5C5AD47169CAFEC9A0E851ED8</vt:lpwstr>
  </property>
</Properties>
</file>