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E/>
        <w:autoSpaceDN/>
        <w:bidi w:val="0"/>
        <w:adjustRightInd/>
        <w:snapToGrid/>
        <w:spacing w:line="560" w:lineRule="exact"/>
        <w:ind w:firstLine="0" w:firstLineChars="0"/>
        <w:jc w:val="left"/>
        <w:textAlignment w:val="auto"/>
        <w:rPr>
          <w:rFonts w:hint="eastAsia" w:ascii="黑体" w:hAnsi="黑体" w:eastAsia="黑体" w:cs="黑体"/>
          <w:color w:val="auto"/>
          <w:sz w:val="32"/>
          <w:szCs w:val="16"/>
          <w:shd w:val="clear" w:color="auto" w:fill="FFFFFF"/>
          <w:lang w:val="en-US" w:eastAsia="zh-CN"/>
        </w:rPr>
      </w:pPr>
      <w:r>
        <w:rPr>
          <w:rFonts w:hint="eastAsia" w:ascii="黑体" w:hAnsi="黑体" w:eastAsia="黑体" w:cs="黑体"/>
          <w:color w:val="auto"/>
          <w:sz w:val="32"/>
          <w:szCs w:val="16"/>
          <w:shd w:val="clear" w:color="auto" w:fill="FFFFFF"/>
          <w:lang w:val="en-US" w:eastAsia="zh-CN"/>
        </w:rPr>
        <w:t>附件</w:t>
      </w:r>
    </w:p>
    <w:p>
      <w:pPr>
        <w:keepNext w:val="0"/>
        <w:keepLines w:val="0"/>
        <w:pageBreakBefore w:val="0"/>
        <w:widowControl w:val="0"/>
        <w:kinsoku/>
        <w:wordWrap/>
        <w:topLinePunct w:val="0"/>
        <w:autoSpaceDE/>
        <w:autoSpaceDN/>
        <w:bidi w:val="0"/>
        <w:adjustRightInd/>
        <w:snapToGrid/>
        <w:spacing w:line="560" w:lineRule="exact"/>
        <w:ind w:firstLine="0" w:firstLineChars="0"/>
        <w:jc w:val="center"/>
        <w:textAlignment w:val="auto"/>
        <w:rPr>
          <w:rFonts w:hint="eastAsia" w:ascii="方正小标宋简体" w:hAnsi="Arial" w:eastAsia="方正小标宋简体" w:cs="Arial"/>
          <w:color w:val="auto"/>
          <w:sz w:val="44"/>
          <w:szCs w:val="21"/>
          <w:shd w:val="clear" w:color="auto" w:fill="FFFFFF"/>
          <w:lang w:eastAsia="zh-CN"/>
        </w:rPr>
      </w:pPr>
      <w:r>
        <w:rPr>
          <w:rFonts w:hint="eastAsia" w:ascii="方正小标宋简体" w:hAnsi="Arial" w:eastAsia="方正小标宋简体" w:cs="Arial"/>
          <w:color w:val="auto"/>
          <w:sz w:val="44"/>
          <w:szCs w:val="21"/>
          <w:shd w:val="clear" w:color="auto" w:fill="FFFFFF"/>
          <w:lang w:eastAsia="zh-CN"/>
        </w:rPr>
        <w:t>关于“</w:t>
      </w:r>
      <w:r>
        <w:rPr>
          <w:rFonts w:hint="eastAsia" w:ascii="方正小标宋简体" w:hAnsi="Arial" w:eastAsia="方正小标宋简体" w:cs="Arial"/>
          <w:color w:val="auto"/>
          <w:sz w:val="44"/>
          <w:szCs w:val="21"/>
          <w:shd w:val="clear" w:color="auto" w:fill="FFFFFF"/>
          <w:lang w:val="en-US" w:eastAsia="zh-CN"/>
        </w:rPr>
        <w:t>11·30</w:t>
      </w:r>
      <w:r>
        <w:rPr>
          <w:rFonts w:hint="eastAsia" w:ascii="方正小标宋简体" w:hAnsi="Arial" w:eastAsia="方正小标宋简体" w:cs="Arial"/>
          <w:color w:val="auto"/>
          <w:sz w:val="44"/>
          <w:szCs w:val="21"/>
          <w:shd w:val="clear" w:color="auto" w:fill="FFFFFF"/>
          <w:lang w:eastAsia="zh-CN"/>
        </w:rPr>
        <w:t>”一般生产安全</w:t>
      </w:r>
    </w:p>
    <w:p>
      <w:pPr>
        <w:keepNext w:val="0"/>
        <w:keepLines w:val="0"/>
        <w:pageBreakBefore w:val="0"/>
        <w:widowControl w:val="0"/>
        <w:kinsoku/>
        <w:wordWrap/>
        <w:topLinePunct w:val="0"/>
        <w:autoSpaceDE/>
        <w:autoSpaceDN/>
        <w:bidi w:val="0"/>
        <w:adjustRightInd/>
        <w:snapToGrid/>
        <w:spacing w:line="560" w:lineRule="exact"/>
        <w:ind w:firstLine="0" w:firstLineChars="0"/>
        <w:jc w:val="center"/>
        <w:textAlignment w:val="auto"/>
        <w:rPr>
          <w:rFonts w:hint="eastAsia" w:ascii="方正小标宋简体" w:hAnsi="Arial" w:eastAsia="方正小标宋简体" w:cs="Arial"/>
          <w:color w:val="auto"/>
          <w:sz w:val="44"/>
          <w:szCs w:val="21"/>
          <w:shd w:val="clear" w:color="auto" w:fill="FFFFFF"/>
        </w:rPr>
      </w:pPr>
      <w:r>
        <w:rPr>
          <w:rFonts w:hint="eastAsia" w:ascii="方正小标宋简体" w:hAnsi="Arial" w:eastAsia="方正小标宋简体" w:cs="Arial"/>
          <w:color w:val="auto"/>
          <w:sz w:val="44"/>
          <w:szCs w:val="21"/>
          <w:shd w:val="clear" w:color="auto" w:fill="FFFFFF"/>
          <w:lang w:eastAsia="zh-CN"/>
        </w:rPr>
        <w:t>责任事故的调查报告</w:t>
      </w:r>
    </w:p>
    <w:p>
      <w:pPr>
        <w:keepNext w:val="0"/>
        <w:keepLines w:val="0"/>
        <w:pageBreakBefore w:val="0"/>
        <w:widowControl w:val="0"/>
        <w:kinsoku/>
        <w:wordWrap/>
        <w:topLinePunct w:val="0"/>
        <w:autoSpaceDE/>
        <w:autoSpaceDN/>
        <w:bidi w:val="0"/>
        <w:adjustRightInd/>
        <w:snapToGrid/>
        <w:spacing w:line="560" w:lineRule="exact"/>
        <w:textAlignment w:val="auto"/>
        <w:rPr>
          <w:color w:val="auto"/>
        </w:rPr>
      </w:pP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ascii="仿宋_GB2312" w:hAnsi="仿宋_GB2312" w:eastAsia="仿宋_GB2312" w:cs="仿宋_GB2312"/>
        </w:rPr>
      </w:pPr>
      <w:r>
        <w:rPr>
          <w:rFonts w:hint="eastAsia" w:ascii="仿宋_GB2312" w:hAnsi="仿宋_GB2312" w:eastAsia="仿宋_GB2312" w:cs="仿宋_GB2312"/>
        </w:rPr>
        <w:t>2023年11月30日15时45分左右，上海市崇明区</w:t>
      </w:r>
      <w:r>
        <w:rPr>
          <w:rFonts w:hint="eastAsia" w:cs="仿宋_GB2312"/>
          <w:lang w:eastAsia="zh-CN"/>
        </w:rPr>
        <w:t>安峰</w:t>
      </w:r>
      <w:r>
        <w:rPr>
          <w:rFonts w:hint="eastAsia" w:ascii="仿宋_GB2312" w:hAnsi="仿宋_GB2312" w:eastAsia="仿宋_GB2312" w:cs="仿宋_GB2312"/>
        </w:rPr>
        <w:t>汽车修理服务部维修人员在上海郦浒新型建筑材料有限公司（城桥镇岱山路518号的）三号库区域，维修解放牌重型栏板货车（车牌号：皖·J05605）时发生一起亡人事故。</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olor w:val="auto"/>
          <w:szCs w:val="32"/>
        </w:rPr>
      </w:pPr>
      <w:r>
        <w:rPr>
          <w:rFonts w:hint="eastAsia"/>
          <w:color w:val="auto"/>
          <w:szCs w:val="32"/>
        </w:rPr>
        <w:t>根据《中华人民共和国安全生产法》和《生产安全事故报告和调查处理条例》(国务院令第493号)及《上海市</w:t>
      </w:r>
      <w:r>
        <w:rPr>
          <w:rFonts w:hint="eastAsia"/>
          <w:color w:val="auto"/>
          <w:szCs w:val="32"/>
          <w:lang w:eastAsia="zh-CN"/>
        </w:rPr>
        <w:t>实施</w:t>
      </w:r>
      <w:r>
        <w:rPr>
          <w:rFonts w:hint="eastAsia"/>
          <w:color w:val="auto"/>
          <w:szCs w:val="32"/>
        </w:rPr>
        <w:t>〈生产安全事故报告和调查处理条例〉的若干规定》（沪府规〔2023〕5号）,受上海市崇明区人民政府委托，成立由上海市崇明区应急管理局（以下简称区应急局）牵头，</w:t>
      </w:r>
      <w:r>
        <w:rPr>
          <w:rFonts w:hint="eastAsia"/>
          <w:color w:val="auto"/>
          <w:szCs w:val="32"/>
          <w:lang w:eastAsia="zh-CN"/>
        </w:rPr>
        <w:t>上海市公安局崇明分局</w:t>
      </w:r>
      <w:r>
        <w:rPr>
          <w:rFonts w:hint="eastAsia"/>
          <w:color w:val="auto"/>
          <w:szCs w:val="32"/>
        </w:rPr>
        <w:t>、上海市崇明区总工会、</w:t>
      </w:r>
      <w:r>
        <w:rPr>
          <w:rFonts w:hint="eastAsia"/>
          <w:color w:val="auto"/>
          <w:szCs w:val="32"/>
          <w:lang w:eastAsia="zh-CN"/>
        </w:rPr>
        <w:t>上海市崇明区交通委员会、上海崇明生态企业集团有限公司</w:t>
      </w:r>
      <w:r>
        <w:rPr>
          <w:rFonts w:hint="eastAsia"/>
          <w:color w:val="auto"/>
          <w:szCs w:val="32"/>
        </w:rPr>
        <w:t>等单位组成的“</w:t>
      </w:r>
      <w:r>
        <w:rPr>
          <w:rFonts w:hint="eastAsia"/>
          <w:color w:val="auto"/>
          <w:szCs w:val="32"/>
          <w:lang w:val="en-US" w:eastAsia="zh-CN"/>
        </w:rPr>
        <w:t>11·30</w:t>
      </w:r>
      <w:r>
        <w:rPr>
          <w:rFonts w:hint="eastAsia"/>
          <w:color w:val="auto"/>
          <w:szCs w:val="32"/>
        </w:rPr>
        <w:t>”事故调查组（以下简称事故调查组），并邀请中共上海市崇明区纪律检查委员会（上海市崇明区监察委员会）监督，开展事故调查工作。现将调查主要情况报告如下：</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ascii="黑体" w:eastAsia="黑体"/>
          <w:b w:val="0"/>
          <w:bCs/>
          <w:color w:val="auto"/>
          <w:szCs w:val="32"/>
          <w:lang w:eastAsia="zh-CN"/>
        </w:rPr>
      </w:pPr>
      <w:r>
        <w:rPr>
          <w:rFonts w:hint="eastAsia" w:ascii="黑体" w:eastAsia="黑体"/>
          <w:b w:val="0"/>
          <w:bCs/>
          <w:color w:val="auto"/>
          <w:szCs w:val="32"/>
          <w:lang w:eastAsia="zh-CN"/>
        </w:rPr>
        <w:t>一、基本情况</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ascii="楷体_GB2312" w:hAnsi="楷体_GB2312" w:eastAsia="楷体_GB2312" w:cs="楷体_GB2312"/>
          <w:b/>
          <w:bCs/>
          <w:color w:val="auto"/>
          <w:szCs w:val="32"/>
          <w:lang w:eastAsia="zh-CN"/>
        </w:rPr>
      </w:pPr>
      <w:r>
        <w:rPr>
          <w:rFonts w:hint="eastAsia" w:ascii="楷体_GB2312" w:hAnsi="楷体_GB2312" w:eastAsia="楷体_GB2312" w:cs="楷体_GB2312"/>
          <w:b/>
          <w:bCs/>
          <w:color w:val="auto"/>
          <w:szCs w:val="32"/>
          <w:lang w:eastAsia="zh-CN"/>
        </w:rPr>
        <w:t>（一）涉事单位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lang w:val="en-US" w:eastAsia="zh-CN"/>
        </w:rPr>
      </w:pPr>
      <w:r>
        <w:rPr>
          <w:rFonts w:hint="eastAsia" w:cs="仿宋_GB2312"/>
          <w:color w:val="auto"/>
          <w:sz w:val="32"/>
          <w:szCs w:val="32"/>
          <w:lang w:val="en-US" w:eastAsia="zh-CN"/>
        </w:rPr>
        <w:t>1.上海郦浒新型建筑材料有限公司（以下简称郦浒公司）；法定代表人：施洪达；住所：上海市崇明区城桥镇中街山路988号3幢A1、B1、C1、D。</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color w:val="auto"/>
          <w:szCs w:val="32"/>
          <w:lang w:val="en-US" w:eastAsia="zh-CN"/>
        </w:rPr>
      </w:pPr>
      <w:r>
        <w:rPr>
          <w:rFonts w:hint="eastAsia" w:cs="仿宋_GB2312"/>
          <w:b w:val="0"/>
          <w:bCs/>
          <w:color w:val="auto"/>
          <w:szCs w:val="32"/>
          <w:lang w:val="en-US" w:eastAsia="zh-CN"/>
        </w:rPr>
        <w:t>2.上海市崇明区安峰汽车修理服务部（个体工商户，以下简称安锋汽修部）；经营者：</w:t>
      </w:r>
      <w:r>
        <w:rPr>
          <w:rFonts w:hint="eastAsia" w:ascii="仿宋_GB2312" w:hAnsi="仿宋_GB2312" w:eastAsia="仿宋_GB2312" w:cs="仿宋_GB2312"/>
          <w:b w:val="0"/>
          <w:bCs/>
          <w:color w:val="auto"/>
          <w:szCs w:val="32"/>
          <w:lang w:eastAsia="zh-CN"/>
        </w:rPr>
        <w:t>赵</w:t>
      </w:r>
      <w:r>
        <w:rPr>
          <w:rFonts w:hint="eastAsia" w:cs="仿宋_GB2312"/>
          <w:b w:val="0"/>
          <w:bCs/>
          <w:color w:val="auto"/>
          <w:szCs w:val="32"/>
          <w:lang w:eastAsia="zh-CN"/>
        </w:rPr>
        <w:t>XX（死者）；经营场所：上海市崇明区城桥镇中津桥路</w:t>
      </w:r>
      <w:r>
        <w:rPr>
          <w:rFonts w:hint="eastAsia" w:cs="仿宋_GB2312"/>
          <w:b w:val="0"/>
          <w:bCs/>
          <w:color w:val="auto"/>
          <w:szCs w:val="32"/>
          <w:lang w:val="en-US" w:eastAsia="zh-CN"/>
        </w:rPr>
        <w:t>133号。</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outlineLvl w:val="9"/>
        <w:rPr>
          <w:rFonts w:hint="eastAsia" w:ascii="楷体_GB2312" w:hAnsi="楷体_GB2312" w:eastAsia="楷体_GB2312" w:cs="楷体_GB2312"/>
          <w:b/>
          <w:bCs/>
          <w:color w:val="auto"/>
          <w:szCs w:val="32"/>
          <w:lang w:val="en-US" w:eastAsia="zh-CN"/>
        </w:rPr>
      </w:pPr>
      <w:r>
        <w:rPr>
          <w:rFonts w:hint="eastAsia" w:ascii="楷体_GB2312" w:hAnsi="楷体_GB2312" w:eastAsia="楷体_GB2312" w:cs="楷体_GB2312"/>
          <w:b/>
          <w:bCs/>
          <w:color w:val="auto"/>
          <w:szCs w:val="32"/>
          <w:lang w:val="en-US" w:eastAsia="zh-CN"/>
        </w:rPr>
        <w:t>（二）涉事车辆</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outlineLvl w:val="9"/>
        <w:rPr>
          <w:rFonts w:hint="eastAsia" w:cs="仿宋_GB2312"/>
          <w:b w:val="0"/>
          <w:bCs w:val="0"/>
          <w:color w:val="auto"/>
          <w:szCs w:val="32"/>
          <w:lang w:val="en-US" w:eastAsia="zh-CN"/>
        </w:rPr>
      </w:pPr>
      <w:r>
        <w:rPr>
          <w:rFonts w:hint="eastAsia" w:cs="仿宋_GB2312"/>
          <w:b w:val="0"/>
          <w:bCs w:val="0"/>
          <w:color w:val="auto"/>
          <w:szCs w:val="32"/>
          <w:lang w:val="en-US" w:eastAsia="zh-CN"/>
        </w:rPr>
        <w:t>2018年，郦浒公司购置皖·J05605解放牌重型栏板货车（以下简称重型货车）用于厂内转运混凝土预制件，2020年9月30日，该车因逾期未检验须强制报废，但郦浒公司仍在使用，且一直交由安锋汽修部赵XX进行维修，但，双方未签订维修合同，费用根据维修量年结。</w:t>
      </w:r>
    </w:p>
    <w:p>
      <w:pPr>
        <w:keepNext w:val="0"/>
        <w:keepLines w:val="0"/>
        <w:pageBreakBefore w:val="0"/>
        <w:widowControl w:val="0"/>
        <w:kinsoku/>
        <w:wordWrap/>
        <w:topLinePunct w:val="0"/>
        <w:autoSpaceDE/>
        <w:autoSpaceDN/>
        <w:bidi w:val="0"/>
        <w:adjustRightInd/>
        <w:snapToGrid/>
        <w:spacing w:line="560" w:lineRule="exact"/>
        <w:ind w:firstLine="643"/>
        <w:jc w:val="both"/>
        <w:textAlignment w:val="auto"/>
        <w:rPr>
          <w:rFonts w:ascii="黑体" w:eastAsia="黑体"/>
          <w:b w:val="0"/>
          <w:bCs/>
          <w:color w:val="auto"/>
          <w:szCs w:val="32"/>
        </w:rPr>
      </w:pPr>
      <w:r>
        <w:rPr>
          <w:rFonts w:hint="eastAsia" w:ascii="黑体" w:eastAsia="黑体"/>
          <w:b w:val="0"/>
          <w:bCs/>
          <w:color w:val="auto"/>
          <w:szCs w:val="32"/>
          <w:lang w:eastAsia="zh-CN"/>
        </w:rPr>
        <w:t>二</w:t>
      </w:r>
      <w:r>
        <w:rPr>
          <w:rFonts w:hint="eastAsia" w:ascii="黑体" w:eastAsia="黑体"/>
          <w:b w:val="0"/>
          <w:bCs/>
          <w:color w:val="auto"/>
          <w:szCs w:val="32"/>
        </w:rPr>
        <w:t>、</w:t>
      </w:r>
      <w:r>
        <w:rPr>
          <w:rFonts w:hint="eastAsia" w:ascii="黑体" w:eastAsia="黑体"/>
          <w:b w:val="0"/>
          <w:bCs/>
          <w:color w:val="auto"/>
          <w:szCs w:val="32"/>
          <w:lang w:eastAsia="zh-CN"/>
        </w:rPr>
        <w:t>事故</w:t>
      </w:r>
      <w:r>
        <w:rPr>
          <w:rFonts w:hint="eastAsia" w:ascii="黑体" w:eastAsia="黑体"/>
          <w:b w:val="0"/>
          <w:bCs/>
          <w:color w:val="auto"/>
          <w:szCs w:val="32"/>
        </w:rPr>
        <w:t>经过</w:t>
      </w:r>
    </w:p>
    <w:p>
      <w:pPr>
        <w:keepNext w:val="0"/>
        <w:keepLines w:val="0"/>
        <w:pageBreakBefore w:val="0"/>
        <w:widowControl w:val="0"/>
        <w:kinsoku/>
        <w:wordWrap/>
        <w:overflowPunct w:val="0"/>
        <w:topLinePunct w:val="0"/>
        <w:autoSpaceDE/>
        <w:autoSpaceDN/>
        <w:bidi w:val="0"/>
        <w:adjustRightInd/>
        <w:snapToGrid w:val="0"/>
        <w:spacing w:line="560" w:lineRule="exact"/>
        <w:ind w:firstLine="643"/>
        <w:jc w:val="both"/>
        <w:textAlignment w:val="auto"/>
        <w:outlineLvl w:val="9"/>
        <w:rPr>
          <w:rFonts w:hint="default" w:cs="仿宋_GB2312"/>
          <w:color w:val="auto"/>
          <w:kern w:val="2"/>
          <w:sz w:val="32"/>
          <w:szCs w:val="32"/>
          <w:u w:val="none"/>
          <w:lang w:val="en-US" w:eastAsia="zh-CN" w:bidi="ar-SA"/>
        </w:rPr>
      </w:pPr>
      <w:r>
        <w:rPr>
          <w:rFonts w:hint="eastAsia" w:cs="仿宋_GB2312"/>
          <w:color w:val="auto"/>
          <w:kern w:val="2"/>
          <w:sz w:val="32"/>
          <w:szCs w:val="32"/>
          <w:u w:val="none"/>
          <w:lang w:val="en-US" w:eastAsia="zh-CN" w:bidi="ar-SA"/>
        </w:rPr>
        <w:t>2023年11月28日，郦浒公司吊装工马宝力驾驶重型货车将车间内混凝土预制件转运至三号库区域，发现车熄火后无法重新打火，便将故障情况上报至厂长郁宁，郁宁随即联系赵XX前来维修。经监控视频显示，13时22分左右，赵XX来到三号库区域维修重型货车，通过行车吊钩将重型货车驾驶室吊起至向前翻转状态，进入驾驶室下方进行维修作业，经检查发现水油泵损坏后，因缺少配件无法当日修复。经监控视频显示，13时48分左右，赵XX离开三号库区域，驾驶室仍保持向前翻转状态。</w:t>
      </w:r>
    </w:p>
    <w:p>
      <w:pPr>
        <w:keepNext w:val="0"/>
        <w:keepLines w:val="0"/>
        <w:pageBreakBefore w:val="0"/>
        <w:widowControl w:val="0"/>
        <w:kinsoku/>
        <w:wordWrap/>
        <w:overflowPunct w:val="0"/>
        <w:topLinePunct w:val="0"/>
        <w:autoSpaceDE/>
        <w:autoSpaceDN/>
        <w:bidi w:val="0"/>
        <w:adjustRightInd/>
        <w:snapToGrid w:val="0"/>
        <w:spacing w:line="560" w:lineRule="exact"/>
        <w:ind w:firstLine="643"/>
        <w:jc w:val="both"/>
        <w:textAlignment w:val="auto"/>
        <w:outlineLvl w:val="9"/>
        <w:rPr>
          <w:rFonts w:hint="default" w:cs="仿宋_GB2312"/>
          <w:color w:val="auto"/>
          <w:kern w:val="2"/>
          <w:sz w:val="32"/>
          <w:szCs w:val="32"/>
          <w:u w:val="none"/>
          <w:lang w:val="en-US" w:eastAsia="zh-CN" w:bidi="ar-SA"/>
        </w:rPr>
      </w:pPr>
      <w:r>
        <w:rPr>
          <w:rFonts w:hint="eastAsia" w:cs="仿宋_GB2312"/>
          <w:color w:val="auto"/>
          <w:kern w:val="2"/>
          <w:sz w:val="32"/>
          <w:szCs w:val="32"/>
          <w:u w:val="none"/>
          <w:lang w:val="en-US" w:eastAsia="zh-CN" w:bidi="ar-SA"/>
        </w:rPr>
        <w:t>经监控视频显示，11月30日15时18分左右，赵XX带好购买的配件，再次来到三号库区域维修作业，进入驾驶室下方更换新的水油泵。经监控视频显示，15时45分左右，驾驶室突然向后下方翻转坠落，压住正在维修的赵XX。经监控视频显示至17时10分左右，马宝力发现赵XX被压在驾驶室下方，随即上报班组长李义成同时拨打120，李义成上报机修负责人黄建华，黄建华上报郁宁。17时15分左右，郁宁安排行车工张金辉操作行车吊起驾驶室，救出被压的赵XX，120到达后将其送至上海健康医学院崇明分院救治。18时12分，经抢救无效死亡，死亡原因为严重挤压伤。</w:t>
      </w:r>
    </w:p>
    <w:p>
      <w:pPr>
        <w:keepNext w:val="0"/>
        <w:keepLines w:val="0"/>
        <w:pageBreakBefore w:val="0"/>
        <w:widowControl w:val="0"/>
        <w:kinsoku/>
        <w:wordWrap/>
        <w:overflowPunct w:val="0"/>
        <w:topLinePunct w:val="0"/>
        <w:autoSpaceDE/>
        <w:autoSpaceDN/>
        <w:bidi w:val="0"/>
        <w:adjustRightInd/>
        <w:snapToGrid/>
        <w:spacing w:line="560" w:lineRule="exact"/>
        <w:ind w:firstLine="643"/>
        <w:textAlignment w:val="auto"/>
        <w:outlineLvl w:val="9"/>
        <w:rPr>
          <w:rFonts w:hint="eastAsia" w:ascii="黑体" w:eastAsia="黑体"/>
          <w:b w:val="0"/>
          <w:bCs/>
          <w:color w:val="auto"/>
          <w:szCs w:val="32"/>
          <w:lang w:eastAsia="zh-CN"/>
        </w:rPr>
      </w:pPr>
      <w:r>
        <w:rPr>
          <w:rFonts w:hint="eastAsia" w:ascii="黑体" w:eastAsia="黑体"/>
          <w:b w:val="0"/>
          <w:bCs/>
          <w:color w:val="auto"/>
          <w:szCs w:val="32"/>
        </w:rPr>
        <w:t>三、人员伤亡</w:t>
      </w:r>
      <w:r>
        <w:rPr>
          <w:rFonts w:hint="eastAsia" w:ascii="黑体" w:eastAsia="黑体"/>
          <w:b w:val="0"/>
          <w:bCs/>
          <w:color w:val="auto"/>
          <w:szCs w:val="32"/>
          <w:lang w:eastAsia="zh-CN"/>
        </w:rPr>
        <w:t>情况</w:t>
      </w:r>
    </w:p>
    <w:p>
      <w:pPr>
        <w:keepNext w:val="0"/>
        <w:keepLines w:val="0"/>
        <w:pageBreakBefore w:val="0"/>
        <w:widowControl w:val="0"/>
        <w:kinsoku/>
        <w:wordWrap/>
        <w:overflowPunct w:val="0"/>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color w:val="auto"/>
          <w:szCs w:val="32"/>
          <w:lang w:eastAsia="zh-CN"/>
        </w:rPr>
      </w:pPr>
      <w:r>
        <w:rPr>
          <w:rFonts w:hint="eastAsia" w:ascii="仿宋_GB2312" w:hAnsi="仿宋_GB2312" w:eastAsia="仿宋_GB2312" w:cs="仿宋_GB2312"/>
          <w:color w:val="auto"/>
          <w:szCs w:val="32"/>
        </w:rPr>
        <w:t>本起事故造成1人死亡</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死者：</w:t>
      </w:r>
      <w:r>
        <w:rPr>
          <w:rFonts w:hint="eastAsia" w:cs="仿宋_GB2312"/>
          <w:color w:val="auto"/>
          <w:szCs w:val="32"/>
          <w:lang w:eastAsia="zh-CN"/>
        </w:rPr>
        <w:t>赵</w:t>
      </w:r>
      <w:r>
        <w:rPr>
          <w:rFonts w:hint="eastAsia" w:cs="仿宋_GB2312"/>
          <w:color w:val="auto"/>
          <w:szCs w:val="32"/>
          <w:lang w:val="en-US" w:eastAsia="zh-CN"/>
        </w:rPr>
        <w:t>XX</w:t>
      </w:r>
      <w:r>
        <w:rPr>
          <w:rFonts w:hint="eastAsia" w:ascii="仿宋_GB2312" w:hAnsi="仿宋_GB2312" w:eastAsia="仿宋_GB2312" w:cs="仿宋_GB2312"/>
          <w:color w:val="auto"/>
          <w:szCs w:val="32"/>
          <w:lang w:eastAsia="zh-CN"/>
        </w:rPr>
        <w:t>；性别：</w:t>
      </w:r>
      <w:r>
        <w:rPr>
          <w:rFonts w:hint="eastAsia" w:cs="仿宋_GB2312"/>
          <w:color w:val="auto"/>
          <w:szCs w:val="32"/>
          <w:lang w:eastAsia="zh-CN"/>
        </w:rPr>
        <w:t>男</w:t>
      </w:r>
      <w:r>
        <w:rPr>
          <w:rFonts w:hint="eastAsia" w:ascii="仿宋_GB2312" w:hAnsi="仿宋_GB2312" w:eastAsia="仿宋_GB2312" w:cs="仿宋_GB2312"/>
          <w:color w:val="auto"/>
          <w:szCs w:val="32"/>
          <w:lang w:eastAsia="zh-CN"/>
        </w:rPr>
        <w:t>；籍贯：</w:t>
      </w:r>
      <w:r>
        <w:rPr>
          <w:rFonts w:hint="eastAsia" w:cs="仿宋_GB2312"/>
          <w:color w:val="auto"/>
          <w:szCs w:val="32"/>
          <w:lang w:eastAsia="zh-CN"/>
        </w:rPr>
        <w:t>上海崇明</w:t>
      </w:r>
      <w:r>
        <w:rPr>
          <w:rFonts w:hint="eastAsia" w:ascii="仿宋_GB2312" w:hAnsi="仿宋_GB2312" w:eastAsia="仿宋_GB2312" w:cs="仿宋_GB2312"/>
          <w:color w:val="auto"/>
          <w:szCs w:val="32"/>
          <w:lang w:eastAsia="zh-CN"/>
        </w:rPr>
        <w:t>；文化程度：</w:t>
      </w:r>
      <w:r>
        <w:rPr>
          <w:rFonts w:hint="eastAsia" w:cs="仿宋_GB2312"/>
          <w:color w:val="auto"/>
          <w:szCs w:val="32"/>
          <w:lang w:eastAsia="zh-CN"/>
        </w:rPr>
        <w:t>初中</w:t>
      </w:r>
      <w:r>
        <w:rPr>
          <w:rFonts w:hint="eastAsia" w:ascii="仿宋_GB2312" w:hAnsi="仿宋_GB2312" w:eastAsia="仿宋_GB2312" w:cs="仿宋_GB2312"/>
          <w:color w:val="auto"/>
          <w:szCs w:val="32"/>
          <w:lang w:eastAsia="zh-CN"/>
        </w:rPr>
        <w:t>；出生年月：</w:t>
      </w:r>
      <w:r>
        <w:rPr>
          <w:rFonts w:hint="eastAsia" w:cs="仿宋_GB2312"/>
          <w:color w:val="auto"/>
          <w:szCs w:val="32"/>
          <w:lang w:val="en-US" w:eastAsia="zh-CN"/>
        </w:rPr>
        <w:t>1979</w:t>
      </w:r>
      <w:r>
        <w:rPr>
          <w:rFonts w:hint="eastAsia" w:ascii="仿宋_GB2312" w:hAnsi="仿宋_GB2312" w:eastAsia="仿宋_GB2312" w:cs="仿宋_GB2312"/>
          <w:color w:val="auto"/>
          <w:szCs w:val="32"/>
          <w:lang w:val="en-US" w:eastAsia="zh-CN"/>
        </w:rPr>
        <w:t>年</w:t>
      </w:r>
      <w:r>
        <w:rPr>
          <w:rFonts w:hint="eastAsia" w:cs="仿宋_GB2312"/>
          <w:color w:val="auto"/>
          <w:szCs w:val="32"/>
          <w:lang w:val="en-US" w:eastAsia="zh-CN"/>
        </w:rPr>
        <w:t>8</w:t>
      </w:r>
      <w:r>
        <w:rPr>
          <w:rFonts w:hint="eastAsia" w:ascii="仿宋_GB2312" w:hAnsi="仿宋_GB2312" w:eastAsia="仿宋_GB2312" w:cs="仿宋_GB2312"/>
          <w:color w:val="auto"/>
          <w:szCs w:val="32"/>
          <w:lang w:val="en-US" w:eastAsia="zh-CN"/>
        </w:rPr>
        <w:t>月</w:t>
      </w:r>
      <w:r>
        <w:rPr>
          <w:rFonts w:hint="eastAsia" w:cs="仿宋_GB2312"/>
          <w:color w:val="auto"/>
          <w:szCs w:val="32"/>
          <w:lang w:val="en-US" w:eastAsia="zh-CN"/>
        </w:rPr>
        <w:t>10</w:t>
      </w:r>
      <w:r>
        <w:rPr>
          <w:rFonts w:hint="eastAsia" w:ascii="仿宋_GB2312" w:hAnsi="仿宋_GB2312" w:eastAsia="仿宋_GB2312" w:cs="仿宋_GB2312"/>
          <w:color w:val="auto"/>
          <w:szCs w:val="32"/>
          <w:lang w:val="en-US" w:eastAsia="zh-CN"/>
        </w:rPr>
        <w:t>日；</w:t>
      </w:r>
      <w:r>
        <w:rPr>
          <w:rFonts w:hint="eastAsia" w:cs="仿宋_GB2312"/>
          <w:color w:val="auto"/>
          <w:szCs w:val="32"/>
          <w:lang w:val="en-US" w:eastAsia="zh-CN"/>
        </w:rPr>
        <w:t>户籍地址：上海市崇明区三星镇XX村XX号X室</w:t>
      </w:r>
      <w:r>
        <w:rPr>
          <w:rFonts w:hint="eastAsia" w:ascii="仿宋_GB2312" w:hAnsi="仿宋_GB2312" w:eastAsia="仿宋_GB2312" w:cs="仿宋_GB2312"/>
          <w:color w:val="auto"/>
          <w:szCs w:val="32"/>
          <w:lang w:val="en-US" w:eastAsia="zh-CN"/>
        </w:rPr>
        <w:t>；</w:t>
      </w:r>
      <w:r>
        <w:rPr>
          <w:rFonts w:hint="eastAsia" w:ascii="仿宋_GB2312" w:hAnsi="仿宋_GB2312" w:eastAsia="仿宋_GB2312" w:cs="仿宋_GB2312"/>
          <w:color w:val="auto"/>
          <w:szCs w:val="32"/>
        </w:rPr>
        <w:t>身份证号：</w:t>
      </w:r>
      <w:r>
        <w:rPr>
          <w:rFonts w:hint="eastAsia" w:cs="仿宋_GB2312"/>
          <w:color w:val="auto"/>
          <w:szCs w:val="32"/>
          <w:lang w:val="en-US" w:eastAsia="zh-CN"/>
        </w:rPr>
        <w:t>3102301979XXXXXXXX</w:t>
      </w:r>
      <w:r>
        <w:rPr>
          <w:rFonts w:hint="eastAsia" w:ascii="仿宋_GB2312" w:hAnsi="仿宋_GB2312" w:eastAsia="仿宋_GB2312" w:cs="仿宋_GB2312"/>
          <w:color w:val="auto"/>
          <w:szCs w:val="32"/>
        </w:rPr>
        <w:t>。</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ascii="黑体" w:hAnsi="黑体" w:eastAsia="黑体" w:cs="黑体"/>
          <w:b w:val="0"/>
          <w:bCs w:val="0"/>
          <w:color w:val="auto"/>
        </w:rPr>
      </w:pPr>
      <w:r>
        <w:rPr>
          <w:rFonts w:hint="eastAsia" w:ascii="黑体" w:eastAsia="黑体"/>
          <w:b w:val="0"/>
          <w:bCs/>
          <w:color w:val="auto"/>
          <w:szCs w:val="32"/>
        </w:rPr>
        <w:t>四</w:t>
      </w:r>
      <w:r>
        <w:rPr>
          <w:rFonts w:hint="eastAsia" w:ascii="黑体" w:eastAsia="黑体"/>
          <w:b w:val="0"/>
          <w:bCs/>
          <w:color w:val="auto"/>
          <w:szCs w:val="32"/>
          <w:lang w:eastAsia="zh-CN"/>
        </w:rPr>
        <w:t>、</w:t>
      </w:r>
      <w:r>
        <w:rPr>
          <w:rFonts w:hint="eastAsia" w:ascii="黑体" w:hAnsi="黑体" w:eastAsia="黑体" w:cs="黑体"/>
          <w:b w:val="0"/>
          <w:bCs w:val="0"/>
          <w:color w:val="auto"/>
          <w:lang w:eastAsia="zh-CN"/>
        </w:rPr>
        <w:t>事故</w:t>
      </w:r>
      <w:r>
        <w:rPr>
          <w:rFonts w:hint="eastAsia" w:ascii="黑体" w:hAnsi="黑体" w:eastAsia="黑体" w:cs="黑体"/>
          <w:b w:val="0"/>
          <w:bCs w:val="0"/>
          <w:color w:val="auto"/>
        </w:rPr>
        <w:t>原因</w:t>
      </w:r>
      <w:r>
        <w:rPr>
          <w:rFonts w:hint="eastAsia" w:ascii="黑体" w:hAnsi="黑体" w:eastAsia="黑体" w:cs="黑体"/>
          <w:b w:val="0"/>
          <w:bCs w:val="0"/>
          <w:color w:val="auto"/>
          <w:lang w:eastAsia="zh-CN"/>
        </w:rPr>
        <w:t>及</w:t>
      </w:r>
      <w:r>
        <w:rPr>
          <w:rFonts w:hint="eastAsia" w:ascii="黑体" w:hAnsi="黑体" w:eastAsia="黑体" w:cs="黑体"/>
          <w:b w:val="0"/>
          <w:bCs w:val="0"/>
          <w:color w:val="auto"/>
        </w:rPr>
        <w:t>性质</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ascii="楷体_GB2312" w:hAnsi="Times New Roman" w:eastAsia="楷体_GB2312"/>
          <w:b/>
          <w:bCs w:val="0"/>
          <w:color w:val="auto"/>
          <w:szCs w:val="32"/>
        </w:rPr>
      </w:pPr>
      <w:r>
        <w:rPr>
          <w:rFonts w:hint="eastAsia" w:ascii="楷体_GB2312" w:hAnsi="Times New Roman" w:eastAsia="楷体_GB2312"/>
          <w:b/>
          <w:bCs w:val="0"/>
          <w:color w:val="auto"/>
          <w:szCs w:val="32"/>
        </w:rPr>
        <w:t>（一）</w:t>
      </w:r>
      <w:r>
        <w:rPr>
          <w:rFonts w:hint="eastAsia" w:ascii="楷体_GB2312" w:hAnsi="Times New Roman" w:eastAsia="楷体_GB2312"/>
          <w:b/>
          <w:bCs w:val="0"/>
          <w:color w:val="auto"/>
          <w:szCs w:val="32"/>
          <w:lang w:eastAsia="zh-CN"/>
        </w:rPr>
        <w:t>事故</w:t>
      </w:r>
      <w:r>
        <w:rPr>
          <w:rFonts w:hint="eastAsia" w:ascii="楷体_GB2312" w:hAnsi="Times New Roman" w:eastAsia="楷体_GB2312"/>
          <w:b/>
          <w:bCs w:val="0"/>
          <w:color w:val="auto"/>
          <w:szCs w:val="32"/>
        </w:rPr>
        <w:t>原因</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color w:val="auto"/>
          <w:szCs w:val="32"/>
        </w:rPr>
      </w:pPr>
      <w:r>
        <w:rPr>
          <w:rFonts w:hint="eastAsia"/>
          <w:b/>
          <w:color w:val="auto"/>
          <w:szCs w:val="32"/>
        </w:rPr>
        <w:t>1.直接原因</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color w:val="auto"/>
          <w:kern w:val="2"/>
          <w:sz w:val="32"/>
          <w:szCs w:val="22"/>
          <w:shd w:val="clear" w:color="auto" w:fill="auto"/>
          <w:lang w:val="en-US" w:eastAsia="zh-CN" w:bidi="ar-SA"/>
        </w:rPr>
      </w:pPr>
      <w:r>
        <w:rPr>
          <w:rFonts w:hint="eastAsia" w:cs="仿宋_GB2312"/>
          <w:color w:val="auto"/>
          <w:kern w:val="2"/>
          <w:sz w:val="32"/>
          <w:szCs w:val="22"/>
          <w:shd w:val="clear" w:color="auto" w:fill="auto"/>
          <w:lang w:val="en-US" w:eastAsia="zh-CN" w:bidi="ar-SA"/>
        </w:rPr>
        <w:t>（1）涉事企业长期使用报废车辆，造成车辆驾驶室翻转系统的液压举升装置失效，支撑装置缺少保险自锁构件（附件一），驾驶室处于向前翻转极易处于不稳定状态，发生下坠。</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color w:val="auto"/>
          <w:kern w:val="2"/>
          <w:sz w:val="32"/>
          <w:szCs w:val="22"/>
          <w:shd w:val="clear" w:color="auto" w:fill="auto"/>
          <w:lang w:val="en-US" w:eastAsia="zh-CN" w:bidi="ar-SA"/>
        </w:rPr>
      </w:pPr>
      <w:r>
        <w:rPr>
          <w:rFonts w:hint="eastAsia" w:cs="仿宋_GB2312"/>
          <w:color w:val="auto"/>
          <w:kern w:val="2"/>
          <w:sz w:val="32"/>
          <w:szCs w:val="22"/>
          <w:shd w:val="clear" w:color="auto" w:fill="auto"/>
          <w:lang w:val="en-US" w:eastAsia="zh-CN" w:bidi="ar-SA"/>
        </w:rPr>
        <w:t>（2）涉事人员进行维修作业时，对存在的安全风险辨识不清，未采取有效的安全防护措施，冒险作业。</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ascii="仿宋_GB2312" w:hAnsi="仿宋_GB2312" w:eastAsia="仿宋_GB2312" w:cs="仿宋_GB2312"/>
          <w:color w:val="auto"/>
          <w:szCs w:val="32"/>
          <w:lang w:eastAsia="zh-CN"/>
        </w:rPr>
      </w:pPr>
      <w:r>
        <w:rPr>
          <w:rFonts w:hint="eastAsia"/>
          <w:b/>
          <w:bCs/>
          <w:color w:val="auto"/>
        </w:rPr>
        <w:t>2.间接原因</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cs="仿宋_GB2312"/>
          <w:lang w:eastAsia="zh-CN"/>
        </w:rPr>
      </w:pPr>
      <w:r>
        <w:rPr>
          <w:rFonts w:hint="eastAsia" w:cs="仿宋_GB2312"/>
          <w:lang w:eastAsia="zh-CN"/>
        </w:rPr>
        <w:t>（</w:t>
      </w:r>
      <w:r>
        <w:rPr>
          <w:rFonts w:hint="eastAsia" w:cs="仿宋_GB2312"/>
          <w:lang w:val="en-US" w:eastAsia="zh-CN"/>
        </w:rPr>
        <w:t>1</w:t>
      </w:r>
      <w:r>
        <w:rPr>
          <w:rFonts w:hint="eastAsia" w:cs="仿宋_GB2312"/>
          <w:lang w:eastAsia="zh-CN"/>
        </w:rPr>
        <w:t>）郦浒公司对外来维修人员失控漏管，现场安全监管缺失；未对维修人员交待安全注意事项，未能督促维修人员严格执行安全操作规程，对维修人员冒险维修车辆的情况失管失察。</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cs="仿宋_GB2312"/>
          <w:lang w:eastAsia="zh-CN"/>
        </w:rPr>
      </w:pPr>
      <w:r>
        <w:rPr>
          <w:rFonts w:hint="eastAsia" w:cs="仿宋_GB2312"/>
          <w:lang w:eastAsia="zh-CN"/>
        </w:rPr>
        <w:t>（</w:t>
      </w:r>
      <w:r>
        <w:rPr>
          <w:rFonts w:hint="eastAsia" w:cs="仿宋_GB2312"/>
          <w:lang w:val="en-US" w:eastAsia="zh-CN"/>
        </w:rPr>
        <w:t>2</w:t>
      </w:r>
      <w:r>
        <w:rPr>
          <w:rFonts w:hint="eastAsia" w:cs="仿宋_GB2312"/>
          <w:lang w:eastAsia="zh-CN"/>
        </w:rPr>
        <w:t>）安锋汽修部未向行业主管部门进行备案，所查信息表明该部维修人员赵XX未经上海市交通委员会职业资格中心培训，安全风险隐患防范意识不强、自我保护意识差。</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ascii="楷体_GB2312" w:hAnsi="楷体_GB2312" w:eastAsia="楷体_GB2312" w:cs="楷体_GB2312"/>
          <w:b/>
          <w:bCs w:val="0"/>
          <w:color w:val="auto"/>
          <w:szCs w:val="32"/>
        </w:rPr>
      </w:pPr>
      <w:r>
        <w:rPr>
          <w:rFonts w:hint="eastAsia" w:ascii="楷体_GB2312" w:hAnsi="楷体_GB2312" w:eastAsia="楷体_GB2312" w:cs="楷体_GB2312"/>
          <w:b/>
          <w:bCs w:val="0"/>
          <w:color w:val="auto"/>
          <w:szCs w:val="32"/>
        </w:rPr>
        <w:t>（二）事故性质</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outlineLvl w:val="9"/>
        <w:rPr>
          <w:rFonts w:hint="eastAsia"/>
          <w:color w:val="auto"/>
        </w:rPr>
      </w:pPr>
      <w:r>
        <w:rPr>
          <w:rFonts w:hint="eastAsia" w:ascii="仿宋_GB2312" w:hAnsi="仿宋_GB2312" w:eastAsia="仿宋_GB2312" w:cs="仿宋_GB2312"/>
          <w:color w:val="auto"/>
        </w:rPr>
        <w:t>经事故调查组调查认定，</w:t>
      </w:r>
      <w:r>
        <w:rPr>
          <w:rFonts w:hint="eastAsia" w:cs="仿宋_GB2312"/>
          <w:color w:val="auto"/>
          <w:lang w:eastAsia="zh-CN"/>
        </w:rPr>
        <w:t>该事故系车辆伤害一般</w:t>
      </w:r>
      <w:r>
        <w:rPr>
          <w:rFonts w:hint="eastAsia" w:ascii="仿宋_GB2312" w:hAnsi="仿宋_GB2312" w:eastAsia="仿宋_GB2312" w:cs="仿宋_GB2312"/>
          <w:color w:val="auto"/>
        </w:rPr>
        <w:t>生产安全责任事故。</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ascii="楷体_GB2312" w:hAnsi="Times New Roman" w:eastAsia="楷体_GB2312"/>
          <w:b w:val="0"/>
          <w:bCs w:val="0"/>
          <w:color w:val="auto"/>
          <w:szCs w:val="32"/>
        </w:rPr>
      </w:pPr>
      <w:r>
        <w:rPr>
          <w:rFonts w:hint="eastAsia" w:ascii="黑体" w:hAnsi="黑体" w:eastAsia="黑体" w:cs="黑体"/>
          <w:b w:val="0"/>
          <w:bCs w:val="0"/>
          <w:color w:val="auto"/>
          <w:lang w:eastAsia="zh-CN"/>
        </w:rPr>
        <w:t>五</w:t>
      </w:r>
      <w:r>
        <w:rPr>
          <w:rFonts w:hint="eastAsia" w:ascii="黑体" w:hAnsi="黑体" w:eastAsia="黑体" w:cs="黑体"/>
          <w:b w:val="0"/>
          <w:bCs w:val="0"/>
          <w:color w:val="auto"/>
        </w:rPr>
        <w:t>、责任认定及处理建议</w:t>
      </w:r>
    </w:p>
    <w:p>
      <w:pPr>
        <w:keepNext w:val="0"/>
        <w:keepLines w:val="0"/>
        <w:pageBreakBefore w:val="0"/>
        <w:widowControl w:val="0"/>
        <w:kinsoku/>
        <w:wordWrap/>
        <w:topLinePunct w:val="0"/>
        <w:autoSpaceDE/>
        <w:autoSpaceDN/>
        <w:bidi w:val="0"/>
        <w:adjustRightInd/>
        <w:snapToGrid/>
        <w:spacing w:line="560" w:lineRule="exact"/>
        <w:ind w:firstLine="643"/>
        <w:textAlignment w:val="auto"/>
      </w:pPr>
      <w:r>
        <w:rPr>
          <w:rFonts w:hint="eastAsia" w:ascii="楷体_GB2312" w:eastAsia="楷体_GB2312"/>
          <w:b/>
          <w:bCs w:val="0"/>
          <w:i w:val="0"/>
          <w:iCs w:val="0"/>
          <w:color w:val="auto"/>
          <w:szCs w:val="32"/>
        </w:rPr>
        <w:t>（</w:t>
      </w:r>
      <w:r>
        <w:rPr>
          <w:rFonts w:hint="eastAsia" w:ascii="楷体_GB2312" w:eastAsia="楷体_GB2312"/>
          <w:b/>
          <w:bCs w:val="0"/>
          <w:i w:val="0"/>
          <w:iCs w:val="0"/>
          <w:color w:val="auto"/>
          <w:szCs w:val="32"/>
          <w:lang w:eastAsia="zh-CN"/>
        </w:rPr>
        <w:t>一</w:t>
      </w:r>
      <w:r>
        <w:rPr>
          <w:rFonts w:hint="eastAsia" w:ascii="楷体_GB2312" w:eastAsia="楷体_GB2312"/>
          <w:b/>
          <w:bCs w:val="0"/>
          <w:i w:val="0"/>
          <w:iCs w:val="0"/>
          <w:color w:val="auto"/>
          <w:szCs w:val="32"/>
        </w:rPr>
        <w:t>）责任单位</w:t>
      </w:r>
      <w:r>
        <w:rPr>
          <w:rFonts w:hint="eastAsia" w:ascii="楷体_GB2312" w:eastAsia="楷体_GB2312"/>
          <w:b/>
          <w:bCs w:val="0"/>
          <w:i w:val="0"/>
          <w:iCs w:val="0"/>
          <w:color w:val="auto"/>
          <w:szCs w:val="32"/>
          <w:lang w:eastAsia="zh-CN"/>
        </w:rPr>
        <w:t>的</w:t>
      </w:r>
      <w:r>
        <w:rPr>
          <w:rFonts w:hint="eastAsia" w:ascii="楷体_GB2312" w:eastAsia="楷体_GB2312"/>
          <w:b/>
          <w:bCs w:val="0"/>
          <w:i w:val="0"/>
          <w:iCs w:val="0"/>
          <w:color w:val="auto"/>
          <w:szCs w:val="32"/>
        </w:rPr>
        <w:t>认定</w:t>
      </w:r>
      <w:r>
        <w:rPr>
          <w:rFonts w:hint="eastAsia" w:ascii="楷体_GB2312" w:eastAsia="楷体_GB2312"/>
          <w:b/>
          <w:bCs w:val="0"/>
          <w:i w:val="0"/>
          <w:iCs w:val="0"/>
          <w:color w:val="auto"/>
          <w:szCs w:val="32"/>
          <w:lang w:eastAsia="zh-CN"/>
        </w:rPr>
        <w:t>及</w:t>
      </w:r>
      <w:r>
        <w:rPr>
          <w:rFonts w:hint="eastAsia" w:ascii="楷体_GB2312" w:eastAsia="楷体_GB2312"/>
          <w:b/>
          <w:bCs w:val="0"/>
          <w:i w:val="0"/>
          <w:iCs w:val="0"/>
          <w:color w:val="auto"/>
          <w:szCs w:val="32"/>
        </w:rPr>
        <w:t>处理</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lang w:val="en-US" w:eastAsia="zh-CN"/>
        </w:rPr>
      </w:pPr>
      <w:r>
        <w:rPr>
          <w:rFonts w:hint="eastAsia" w:cs="仿宋_GB2312"/>
          <w:lang w:val="en-US" w:eastAsia="zh-CN"/>
        </w:rPr>
        <w:t>（1）郦浒公司违反了《中华人民共和国安全生产法》第四条、第二十八条第一款、第四十一条第二款、第四十四条第一款、第四十九条第一款、第二款（附件二）的规定</w:t>
      </w:r>
      <w:r>
        <w:rPr>
          <w:rFonts w:hint="eastAsia" w:cs="仿宋_GB2312"/>
          <w:lang w:eastAsia="zh-CN"/>
        </w:rPr>
        <w:t>。长期使用报废车辆运输作业</w:t>
      </w:r>
      <w:r>
        <w:rPr>
          <w:rFonts w:hint="eastAsia" w:cs="仿宋_GB2312"/>
          <w:lang w:val="en-US" w:eastAsia="zh-CN"/>
        </w:rPr>
        <w:t>,将车辆维修项目发包给无资质的个体工商户，既没有签订专门的安全生产管理协议，也未明确各自的安全生产管理职责</w:t>
      </w:r>
      <w:r>
        <w:rPr>
          <w:rFonts w:hint="eastAsia" w:cs="仿宋_GB2312"/>
          <w:lang w:eastAsia="zh-CN"/>
        </w:rPr>
        <w:t>；对外来维修人员失控漏管，现场安全监管缺失；未对维修人员交待安全注意事项，未能督促维修人员严格执行安全操作规程，对维修人员冒险维修车辆的情况失管失察，对事故发生负有责任。</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color w:val="auto"/>
          <w:szCs w:val="32"/>
          <w:lang w:eastAsia="zh-CN"/>
        </w:rPr>
      </w:pPr>
      <w:r>
        <w:rPr>
          <w:rFonts w:hint="eastAsia" w:cs="仿宋_GB2312"/>
          <w:lang w:eastAsia="zh-CN"/>
        </w:rPr>
        <w:t>建议</w:t>
      </w:r>
      <w:r>
        <w:rPr>
          <w:rFonts w:hint="eastAsia" w:ascii="仿宋_GB2312" w:hAnsi="仿宋_GB2312" w:eastAsia="仿宋_GB2312" w:cs="仿宋_GB2312"/>
          <w:color w:val="auto"/>
          <w:szCs w:val="32"/>
        </w:rPr>
        <w:t>区应急局</w:t>
      </w:r>
      <w:r>
        <w:rPr>
          <w:rFonts w:hint="eastAsia" w:cs="仿宋_GB2312"/>
          <w:lang w:eastAsia="zh-CN"/>
        </w:rPr>
        <w:t>依据《中华人民共和国安全生产法》第一百一十四条第一款第一项</w:t>
      </w:r>
      <w:r>
        <w:rPr>
          <w:rFonts w:hint="eastAsia" w:cs="仿宋_GB2312"/>
          <w:lang w:val="en-US" w:eastAsia="zh-CN"/>
        </w:rPr>
        <w:t>（附件二）</w:t>
      </w:r>
      <w:r>
        <w:rPr>
          <w:rFonts w:hint="eastAsia" w:cs="仿宋_GB2312"/>
          <w:lang w:eastAsia="zh-CN"/>
        </w:rPr>
        <w:t>的规定，</w:t>
      </w:r>
      <w:r>
        <w:rPr>
          <w:rFonts w:hint="eastAsia" w:ascii="仿宋_GB2312" w:hAnsi="仿宋_GB2312" w:eastAsia="仿宋_GB2312" w:cs="仿宋_GB2312"/>
          <w:color w:val="auto"/>
          <w:szCs w:val="32"/>
        </w:rPr>
        <w:t>对</w:t>
      </w:r>
      <w:r>
        <w:rPr>
          <w:rFonts w:hint="eastAsia" w:cs="仿宋_GB2312"/>
          <w:lang w:eastAsia="zh-CN"/>
        </w:rPr>
        <w:t>郦浒公司</w:t>
      </w:r>
      <w:r>
        <w:rPr>
          <w:rFonts w:hint="eastAsia" w:ascii="仿宋_GB2312" w:hAnsi="仿宋_GB2312" w:eastAsia="仿宋_GB2312" w:cs="仿宋_GB2312"/>
          <w:color w:val="auto"/>
          <w:szCs w:val="32"/>
        </w:rPr>
        <w:t>处三十万元以上一百万元以下的罚款</w:t>
      </w:r>
      <w:r>
        <w:rPr>
          <w:rFonts w:hint="eastAsia" w:cs="仿宋_GB2312"/>
          <w:color w:val="auto"/>
          <w:szCs w:val="32"/>
          <w:lang w:eastAsia="zh-CN"/>
        </w:rPr>
        <w:t>。</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color w:val="auto"/>
          <w:lang w:val="en-US" w:eastAsia="zh-CN"/>
        </w:rPr>
      </w:pPr>
      <w:r>
        <w:rPr>
          <w:rFonts w:hint="eastAsia" w:cs="仿宋_GB2312"/>
          <w:color w:val="auto"/>
          <w:lang w:val="en-US" w:eastAsia="zh-CN"/>
        </w:rPr>
        <w:t>郦浒公司违反了《中华人民共和国道路交通安全法》</w:t>
      </w:r>
      <w:r>
        <w:rPr>
          <w:rFonts w:hint="eastAsia" w:cs="仿宋_GB2312"/>
          <w:color w:val="auto"/>
          <w:szCs w:val="32"/>
          <w:lang w:eastAsia="zh-CN"/>
        </w:rPr>
        <w:t>第十二条第四项、第十四条</w:t>
      </w:r>
      <w:r>
        <w:rPr>
          <w:rFonts w:hint="eastAsia" w:cs="仿宋_GB2312"/>
          <w:lang w:val="en-US" w:eastAsia="zh-CN"/>
        </w:rPr>
        <w:t>（附件二）</w:t>
      </w:r>
      <w:r>
        <w:rPr>
          <w:rFonts w:hint="eastAsia" w:cs="仿宋_GB2312"/>
          <w:color w:val="auto"/>
          <w:szCs w:val="32"/>
          <w:lang w:eastAsia="zh-CN"/>
        </w:rPr>
        <w:t>的规定</w:t>
      </w:r>
      <w:r>
        <w:rPr>
          <w:rFonts w:hint="eastAsia" w:cs="仿宋_GB2312"/>
          <w:color w:val="auto"/>
          <w:lang w:val="en-US" w:eastAsia="zh-CN"/>
        </w:rPr>
        <w:t>。未对报废车辆办理注销登记，长期使用报废车辆在厂内道路上运输作业。</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color w:val="auto"/>
          <w:szCs w:val="32"/>
          <w:lang w:eastAsia="zh-CN"/>
        </w:rPr>
      </w:pPr>
      <w:r>
        <w:rPr>
          <w:rFonts w:hint="eastAsia" w:cs="仿宋_GB2312"/>
          <w:color w:val="auto"/>
          <w:lang w:val="en-US" w:eastAsia="zh-CN"/>
        </w:rPr>
        <w:t>建议公安机关交通管理部门依据相关法律法规进行查处。</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cs="仿宋_GB2312"/>
          <w:lang w:eastAsia="zh-CN"/>
        </w:rPr>
      </w:pPr>
      <w:r>
        <w:rPr>
          <w:rFonts w:hint="eastAsia" w:cs="仿宋_GB2312"/>
          <w:color w:val="auto"/>
          <w:szCs w:val="32"/>
          <w:lang w:eastAsia="zh-CN"/>
        </w:rPr>
        <w:t>（</w:t>
      </w:r>
      <w:r>
        <w:rPr>
          <w:rFonts w:hint="eastAsia" w:cs="仿宋_GB2312"/>
          <w:color w:val="auto"/>
          <w:szCs w:val="32"/>
          <w:lang w:val="en-US" w:eastAsia="zh-CN"/>
        </w:rPr>
        <w:t>2</w:t>
      </w:r>
      <w:r>
        <w:rPr>
          <w:rFonts w:hint="eastAsia" w:cs="仿宋_GB2312"/>
          <w:color w:val="auto"/>
          <w:szCs w:val="32"/>
          <w:lang w:eastAsia="zh-CN"/>
        </w:rPr>
        <w:t>）安锋汽修部</w:t>
      </w:r>
      <w:r>
        <w:rPr>
          <w:rFonts w:hint="eastAsia" w:cs="仿宋_GB2312"/>
          <w:color w:val="auto"/>
          <w:lang w:val="en-US" w:eastAsia="zh-CN"/>
        </w:rPr>
        <w:t>违反了《机动车维修管理规定》第七条、第二十二条</w:t>
      </w:r>
      <w:r>
        <w:rPr>
          <w:rFonts w:hint="eastAsia" w:cs="仿宋_GB2312"/>
          <w:lang w:val="en-US" w:eastAsia="zh-CN"/>
        </w:rPr>
        <w:t>（附件二）</w:t>
      </w:r>
      <w:r>
        <w:rPr>
          <w:rFonts w:hint="eastAsia" w:cs="仿宋_GB2312"/>
          <w:color w:val="auto"/>
          <w:lang w:val="en-US" w:eastAsia="zh-CN"/>
        </w:rPr>
        <w:t>的规定，未取得《上海市机动车维修备案证明》，违规承修已报废的机动车，对事故发生负有责任，鉴于经营者已在事故中死亡，建议不追究责任。</w:t>
      </w:r>
    </w:p>
    <w:p>
      <w:pPr>
        <w:keepNext w:val="0"/>
        <w:keepLines w:val="0"/>
        <w:pageBreakBefore w:val="0"/>
        <w:widowControl w:val="0"/>
        <w:kinsoku/>
        <w:wordWrap/>
        <w:topLinePunct w:val="0"/>
        <w:autoSpaceDE/>
        <w:autoSpaceDN/>
        <w:bidi w:val="0"/>
        <w:adjustRightInd/>
        <w:snapToGrid/>
        <w:spacing w:line="560" w:lineRule="exact"/>
        <w:textAlignment w:val="auto"/>
        <w:rPr>
          <w:rFonts w:hint="eastAsia" w:ascii="楷体_GB2312" w:hAnsi="Times New Roman" w:eastAsia="楷体_GB2312"/>
          <w:b/>
          <w:bCs w:val="0"/>
          <w:color w:val="auto"/>
          <w:szCs w:val="32"/>
          <w:lang w:eastAsia="zh-CN"/>
        </w:rPr>
      </w:pPr>
      <w:r>
        <w:rPr>
          <w:rFonts w:hint="eastAsia" w:ascii="楷体_GB2312" w:hAnsi="Times New Roman" w:eastAsia="楷体_GB2312"/>
          <w:b/>
          <w:bCs w:val="0"/>
          <w:color w:val="auto"/>
          <w:szCs w:val="32"/>
        </w:rPr>
        <w:t>（</w:t>
      </w:r>
      <w:r>
        <w:rPr>
          <w:rFonts w:hint="eastAsia" w:ascii="楷体_GB2312" w:hAnsi="Times New Roman" w:eastAsia="楷体_GB2312"/>
          <w:b/>
          <w:bCs w:val="0"/>
          <w:color w:val="auto"/>
          <w:szCs w:val="32"/>
          <w:lang w:eastAsia="zh-CN"/>
        </w:rPr>
        <w:t>二</w:t>
      </w:r>
      <w:r>
        <w:rPr>
          <w:rFonts w:hint="eastAsia" w:ascii="楷体_GB2312" w:hAnsi="Times New Roman" w:eastAsia="楷体_GB2312"/>
          <w:b/>
          <w:bCs w:val="0"/>
          <w:color w:val="auto"/>
          <w:szCs w:val="32"/>
        </w:rPr>
        <w:t>）责任人员的认定及</w:t>
      </w:r>
      <w:r>
        <w:rPr>
          <w:rFonts w:hint="eastAsia" w:ascii="楷体_GB2312" w:hAnsi="Times New Roman" w:eastAsia="楷体_GB2312"/>
          <w:b/>
          <w:bCs w:val="0"/>
          <w:color w:val="auto"/>
          <w:szCs w:val="32"/>
          <w:lang w:eastAsia="zh-CN"/>
        </w:rPr>
        <w:t>处理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outlineLvl w:val="9"/>
        <w:rPr>
          <w:rFonts w:hint="eastAsia" w:cs="仿宋_GB2312"/>
          <w:color w:val="auto"/>
          <w:lang w:val="en-US" w:eastAsia="zh-CN"/>
        </w:rPr>
      </w:pPr>
      <w:r>
        <w:rPr>
          <w:rFonts w:hint="eastAsia" w:cs="仿宋_GB2312"/>
          <w:color w:val="auto"/>
          <w:lang w:val="en-US" w:eastAsia="zh-CN"/>
        </w:rPr>
        <w:t>1.赵XX，重型货车维修工、安锋汽修部经营者。对报废车辆维修作业风险辨识不足，未采取有效的安全防护措施，盲目进入报废车辆驾驶室下方冒险作业，对事故发生负有责任，鉴于已在事故中死亡，建议不追究责任。</w:t>
      </w:r>
    </w:p>
    <w:p>
      <w:pPr>
        <w:keepNext w:val="0"/>
        <w:keepLines w:val="0"/>
        <w:pageBreakBefore w:val="0"/>
        <w:widowControl w:val="0"/>
        <w:kinsoku/>
        <w:wordWrap/>
        <w:topLinePunct w:val="0"/>
        <w:autoSpaceDE/>
        <w:autoSpaceDN/>
        <w:bidi w:val="0"/>
        <w:spacing w:line="560" w:lineRule="exact"/>
        <w:textAlignment w:val="auto"/>
        <w:rPr>
          <w:rFonts w:hint="eastAsia"/>
          <w:lang w:val="en-US" w:eastAsia="zh-CN"/>
        </w:rPr>
      </w:pPr>
      <w:r>
        <w:rPr>
          <w:rFonts w:hint="eastAsia"/>
          <w:lang w:val="en-US" w:eastAsia="zh-CN"/>
        </w:rPr>
        <w:t>2.黄建华，郦浒公司机修负责人。对行车起重设备安全管理不力，对行车用于维修车辆的情况失管失察，对事故发生负有责任。</w:t>
      </w:r>
    </w:p>
    <w:p>
      <w:pPr>
        <w:keepNext w:val="0"/>
        <w:keepLines w:val="0"/>
        <w:pageBreakBefore w:val="0"/>
        <w:widowControl w:val="0"/>
        <w:kinsoku/>
        <w:wordWrap/>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建议</w:t>
      </w:r>
      <w:r>
        <w:rPr>
          <w:rFonts w:hint="eastAsia" w:cs="仿宋_GB2312"/>
          <w:color w:val="auto"/>
          <w:lang w:val="en-US" w:eastAsia="zh-CN"/>
        </w:rPr>
        <w:t>郦浒公司</w:t>
      </w:r>
      <w:r>
        <w:rPr>
          <w:rFonts w:hint="eastAsia" w:ascii="仿宋_GB2312" w:hAnsi="仿宋_GB2312" w:eastAsia="仿宋_GB2312" w:cs="仿宋_GB2312"/>
          <w:color w:val="auto"/>
          <w:lang w:eastAsia="zh-CN"/>
        </w:rPr>
        <w:t>对</w:t>
      </w:r>
      <w:r>
        <w:rPr>
          <w:rFonts w:hint="eastAsia"/>
          <w:lang w:val="en-US" w:eastAsia="zh-CN"/>
        </w:rPr>
        <w:t>黄建华</w:t>
      </w:r>
      <w:r>
        <w:rPr>
          <w:rFonts w:hint="eastAsia" w:ascii="仿宋_GB2312" w:hAnsi="仿宋_GB2312" w:eastAsia="仿宋_GB2312" w:cs="仿宋_GB2312"/>
          <w:color w:val="auto"/>
          <w:lang w:eastAsia="zh-CN"/>
        </w:rPr>
        <w:t>按照企业规定给予处理</w:t>
      </w:r>
      <w:r>
        <w:rPr>
          <w:rFonts w:hint="eastAsia" w:cs="仿宋_GB2312"/>
          <w:color w:val="auto"/>
          <w:lang w:eastAsia="zh-CN"/>
        </w:rPr>
        <w:t>，处理结果报区应急局</w:t>
      </w:r>
      <w:r>
        <w:rPr>
          <w:rFonts w:hint="eastAsia" w:ascii="仿宋_GB2312" w:hAnsi="仿宋_GB2312" w:eastAsia="仿宋_GB2312" w:cs="仿宋_GB2312"/>
          <w:color w:val="auto"/>
          <w:lang w:eastAsia="zh-CN"/>
        </w:rPr>
        <w:t>。</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cs="仿宋_GB2312"/>
          <w:color w:val="auto"/>
          <w:lang w:val="en-US" w:eastAsia="zh-CN"/>
        </w:rPr>
      </w:pPr>
      <w:r>
        <w:rPr>
          <w:rFonts w:hint="eastAsia" w:cs="仿宋_GB2312"/>
          <w:color w:val="auto"/>
          <w:lang w:val="en-US" w:eastAsia="zh-CN"/>
        </w:rPr>
        <w:t>3.郁宁，郦浒公司厂长、生产经理。未能履行安全生产管理职责，长期聘请外来作业人员维修报废车辆，未能督促检查本单位的安全生产工作，对事故发生负有责任。</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cs="仿宋_GB2312"/>
          <w:color w:val="auto"/>
          <w:lang w:val="en-US" w:eastAsia="zh-CN"/>
        </w:rPr>
      </w:pPr>
      <w:r>
        <w:rPr>
          <w:rFonts w:hint="eastAsia" w:cs="仿宋_GB2312"/>
          <w:color w:val="auto"/>
          <w:lang w:val="en-US" w:eastAsia="zh-CN"/>
        </w:rPr>
        <w:t>建议区应急局依据《中华人民共和国安全生产法》九十六条第一项</w:t>
      </w:r>
      <w:r>
        <w:rPr>
          <w:rFonts w:hint="eastAsia" w:cs="仿宋_GB2312"/>
          <w:lang w:val="en-US" w:eastAsia="zh-CN"/>
        </w:rPr>
        <w:t>（附件二）</w:t>
      </w:r>
      <w:r>
        <w:rPr>
          <w:rFonts w:hint="eastAsia" w:cs="仿宋_GB2312"/>
          <w:color w:val="auto"/>
          <w:lang w:val="en-US" w:eastAsia="zh-CN"/>
        </w:rPr>
        <w:t>的规定，对郁宁处上一年年收入百分之二十以上百分之五十以下的罚款。</w:t>
      </w:r>
    </w:p>
    <w:p>
      <w:pPr>
        <w:keepNext w:val="0"/>
        <w:keepLines w:val="0"/>
        <w:pageBreakBefore w:val="0"/>
        <w:widowControl w:val="0"/>
        <w:kinsoku/>
        <w:wordWrap/>
        <w:topLinePunct w:val="0"/>
        <w:autoSpaceDE/>
        <w:autoSpaceDN/>
        <w:bidi w:val="0"/>
        <w:adjustRightInd/>
        <w:snapToGrid/>
        <w:spacing w:line="560" w:lineRule="exact"/>
        <w:ind w:firstLine="643"/>
        <w:textAlignment w:val="auto"/>
        <w:rPr>
          <w:rFonts w:hint="eastAsia" w:ascii="黑体" w:eastAsia="黑体"/>
          <w:b w:val="0"/>
          <w:bCs/>
          <w:color w:val="auto"/>
          <w:szCs w:val="32"/>
          <w:lang w:eastAsia="zh-CN"/>
        </w:rPr>
      </w:pPr>
      <w:r>
        <w:rPr>
          <w:rFonts w:hint="eastAsia" w:ascii="黑体" w:eastAsia="黑体"/>
          <w:b w:val="0"/>
          <w:bCs/>
          <w:color w:val="auto"/>
          <w:szCs w:val="32"/>
          <w:lang w:eastAsia="zh-CN"/>
        </w:rPr>
        <w:t>六</w:t>
      </w:r>
      <w:r>
        <w:rPr>
          <w:rFonts w:hint="eastAsia" w:ascii="黑体" w:eastAsia="黑体"/>
          <w:b w:val="0"/>
          <w:bCs/>
          <w:color w:val="auto"/>
          <w:szCs w:val="32"/>
        </w:rPr>
        <w:t>、事故</w:t>
      </w:r>
      <w:r>
        <w:rPr>
          <w:rFonts w:hint="eastAsia" w:ascii="黑体" w:eastAsia="黑体"/>
          <w:b w:val="0"/>
          <w:bCs/>
          <w:color w:val="auto"/>
          <w:szCs w:val="32"/>
          <w:lang w:eastAsia="zh-CN"/>
        </w:rPr>
        <w:t>教训</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针对“</w:t>
      </w:r>
      <w:r>
        <w:rPr>
          <w:rFonts w:hint="eastAsia" w:cs="仿宋_GB2312"/>
          <w:color w:val="auto"/>
          <w:szCs w:val="32"/>
          <w:lang w:val="en-US" w:eastAsia="zh-CN"/>
        </w:rPr>
        <w:t>11·30</w:t>
      </w:r>
      <w:r>
        <w:rPr>
          <w:rFonts w:hint="eastAsia" w:ascii="仿宋_GB2312" w:hAnsi="仿宋_GB2312" w:eastAsia="仿宋_GB2312" w:cs="仿宋_GB2312"/>
          <w:color w:val="auto"/>
          <w:szCs w:val="32"/>
        </w:rPr>
        <w:t>”事故暴露出的问题，相关</w:t>
      </w:r>
      <w:r>
        <w:rPr>
          <w:rFonts w:hint="eastAsia" w:cs="仿宋_GB2312"/>
          <w:color w:val="auto"/>
          <w:szCs w:val="32"/>
          <w:lang w:eastAsia="zh-CN"/>
        </w:rPr>
        <w:t>单位</w:t>
      </w:r>
      <w:r>
        <w:rPr>
          <w:rFonts w:hint="eastAsia" w:ascii="仿宋_GB2312" w:hAnsi="仿宋_GB2312" w:eastAsia="仿宋_GB2312" w:cs="仿宋_GB2312"/>
          <w:color w:val="auto"/>
          <w:szCs w:val="32"/>
        </w:rPr>
        <w:t>思想上要高度重视，深刻吸取事故教训，加强风险防控，抓好源头治理和事故预防，坚决</w:t>
      </w:r>
      <w:r>
        <w:rPr>
          <w:rFonts w:hint="eastAsia" w:cs="仿宋_GB2312"/>
          <w:color w:val="auto"/>
          <w:szCs w:val="32"/>
          <w:lang w:eastAsia="zh-CN"/>
        </w:rPr>
        <w:t>杜绝</w:t>
      </w:r>
      <w:r>
        <w:rPr>
          <w:rFonts w:hint="eastAsia" w:ascii="仿宋_GB2312" w:hAnsi="仿宋_GB2312" w:eastAsia="仿宋_GB2312" w:cs="仿宋_GB2312"/>
          <w:color w:val="auto"/>
          <w:szCs w:val="32"/>
        </w:rPr>
        <w:t>类似事故发生。</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textAlignment w:val="auto"/>
        <w:outlineLvl w:val="9"/>
        <w:rPr>
          <w:rFonts w:hint="eastAsia" w:ascii="楷体_GB2312" w:hAnsi="楷体_GB2312" w:eastAsia="楷体_GB2312" w:cs="楷体_GB2312"/>
          <w:b/>
          <w:bCs/>
          <w:color w:val="auto"/>
          <w:szCs w:val="32"/>
          <w:lang w:eastAsia="zh-CN"/>
        </w:rPr>
      </w:pPr>
      <w:r>
        <w:rPr>
          <w:rFonts w:hint="eastAsia" w:ascii="楷体_GB2312" w:hAnsi="楷体_GB2312" w:eastAsia="楷体_GB2312" w:cs="楷体_GB2312"/>
          <w:b/>
          <w:bCs/>
          <w:color w:val="auto"/>
          <w:szCs w:val="32"/>
        </w:rPr>
        <w:t>（</w:t>
      </w:r>
      <w:r>
        <w:rPr>
          <w:rFonts w:hint="eastAsia" w:ascii="楷体_GB2312" w:hAnsi="楷体_GB2312" w:eastAsia="楷体_GB2312" w:cs="楷体_GB2312"/>
          <w:b/>
          <w:bCs/>
          <w:color w:val="auto"/>
          <w:szCs w:val="32"/>
          <w:lang w:eastAsia="zh-CN"/>
        </w:rPr>
        <w:t>一</w:t>
      </w:r>
      <w:r>
        <w:rPr>
          <w:rFonts w:hint="eastAsia" w:ascii="楷体_GB2312" w:hAnsi="楷体_GB2312" w:eastAsia="楷体_GB2312" w:cs="楷体_GB2312"/>
          <w:b/>
          <w:bCs/>
          <w:color w:val="auto"/>
          <w:szCs w:val="32"/>
        </w:rPr>
        <w:t>）</w:t>
      </w:r>
      <w:r>
        <w:rPr>
          <w:rFonts w:hint="eastAsia" w:ascii="楷体_GB2312" w:hAnsi="楷体_GB2312" w:eastAsia="楷体_GB2312" w:cs="楷体_GB2312"/>
          <w:b/>
          <w:bCs/>
          <w:color w:val="auto"/>
          <w:szCs w:val="32"/>
          <w:lang w:eastAsia="zh-CN"/>
        </w:rPr>
        <w:t>剖析事故教训，深刻反思安全</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outlineLvl w:val="9"/>
        <w:rPr>
          <w:rFonts w:hint="eastAsia" w:cs="仿宋_GB2312"/>
          <w:b w:val="0"/>
          <w:bCs w:val="0"/>
          <w:color w:val="auto"/>
          <w:szCs w:val="32"/>
          <w:lang w:eastAsia="zh-CN"/>
        </w:rPr>
      </w:pPr>
      <w:r>
        <w:rPr>
          <w:rFonts w:hint="eastAsia" w:cs="仿宋_GB2312"/>
          <w:b w:val="0"/>
          <w:bCs w:val="0"/>
          <w:color w:val="auto"/>
          <w:szCs w:val="32"/>
          <w:lang w:eastAsia="zh-CN"/>
        </w:rPr>
        <w:t>相关企业要增强安全生产工作的紧迫感和责任感，充分认识并深刻吸取事故带来的教训，认真组织并开展车辆维修项目的安全检查；针对厂内报废车辆，要严格按照法律法规进行报废处理，严禁使用；对外来维修人员安全管理混乱的情况，要明确各级、各类人员安全生产工作职责，落实安全生产责任制，切实履行安全生产主体责任。</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outlineLvl w:val="9"/>
        <w:rPr>
          <w:rFonts w:hint="eastAsia" w:ascii="楷体_GB2312" w:hAnsi="楷体_GB2312" w:eastAsia="楷体_GB2312" w:cs="楷体_GB2312"/>
          <w:b/>
          <w:bCs/>
          <w:color w:val="auto"/>
          <w:szCs w:val="32"/>
        </w:rPr>
      </w:pPr>
      <w:r>
        <w:rPr>
          <w:rFonts w:hint="eastAsia" w:ascii="楷体_GB2312" w:hAnsi="楷体_GB2312" w:eastAsia="楷体_GB2312" w:cs="楷体_GB2312"/>
          <w:b/>
          <w:bCs/>
          <w:color w:val="auto"/>
          <w:szCs w:val="32"/>
          <w:lang w:eastAsia="zh-CN"/>
        </w:rPr>
        <w:t>（二）强化行业</w:t>
      </w:r>
      <w:r>
        <w:rPr>
          <w:rFonts w:hint="eastAsia" w:ascii="楷体_GB2312" w:hAnsi="楷体_GB2312" w:eastAsia="楷体_GB2312" w:cs="楷体_GB2312"/>
          <w:b/>
          <w:bCs/>
          <w:color w:val="auto"/>
          <w:szCs w:val="32"/>
        </w:rPr>
        <w:t>监管，提升安全水平</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outlineLvl w:val="9"/>
        <w:rPr>
          <w:rFonts w:hint="eastAsia" w:cs="仿宋_GB2312"/>
          <w:b w:val="0"/>
          <w:bCs w:val="0"/>
          <w:color w:val="auto"/>
          <w:szCs w:val="32"/>
          <w:lang w:eastAsia="zh-CN"/>
        </w:rPr>
      </w:pPr>
      <w:r>
        <w:rPr>
          <w:rFonts w:hint="eastAsia" w:cs="仿宋_GB2312"/>
          <w:b w:val="0"/>
          <w:bCs w:val="0"/>
          <w:color w:val="auto"/>
          <w:szCs w:val="32"/>
          <w:lang w:eastAsia="zh-CN"/>
        </w:rPr>
        <w:t>行业主管部门和</w:t>
      </w:r>
      <w:r>
        <w:rPr>
          <w:rFonts w:hint="eastAsia" w:cs="仿宋_GB2312"/>
          <w:b w:val="0"/>
          <w:bCs w:val="0"/>
          <w:color w:val="auto"/>
          <w:szCs w:val="32"/>
          <w:lang w:val="en-US" w:eastAsia="zh-CN"/>
        </w:rPr>
        <w:t>园区</w:t>
      </w:r>
      <w:r>
        <w:rPr>
          <w:rFonts w:hint="eastAsia" w:cs="仿宋_GB2312"/>
          <w:b w:val="0"/>
          <w:bCs w:val="0"/>
          <w:color w:val="auto"/>
          <w:szCs w:val="32"/>
          <w:lang w:eastAsia="zh-CN"/>
        </w:rPr>
        <w:t>要按照“管行业必须管安全、管业务必须管安全、管生产经营必须管安全”的原则严格落实行业监管、属地监管职责，督促企业有效落实企业安全生产主体责任，严格履行相应的安全生产管理职责，加强安全生产管理。</w:t>
      </w:r>
    </w:p>
    <w:p>
      <w:pPr>
        <w:pStyle w:val="2"/>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textAlignment w:val="auto"/>
        <w:outlineLvl w:val="9"/>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textAlignment w:val="auto"/>
        <w:outlineLvl w:val="9"/>
        <w:rPr>
          <w:rFonts w:hint="default"/>
          <w:lang w:val="en-US" w:eastAsia="zh-CN"/>
        </w:rPr>
      </w:pPr>
      <w:r>
        <w:rPr>
          <w:rFonts w:hint="eastAsia"/>
          <w:lang w:val="en-US" w:eastAsia="zh-CN"/>
        </w:rPr>
        <w:t>附件：一、司法鉴定科学研究院司法鉴定意见书</w:t>
      </w:r>
    </w:p>
    <w:p>
      <w:pPr>
        <w:keepNext w:val="0"/>
        <w:keepLines w:val="0"/>
        <w:pageBreakBefore w:val="0"/>
        <w:widowControl w:val="0"/>
        <w:kinsoku/>
        <w:wordWrap/>
        <w:overflowPunct w:val="0"/>
        <w:topLinePunct w:val="0"/>
        <w:autoSpaceDE/>
        <w:autoSpaceDN/>
        <w:bidi w:val="0"/>
        <w:adjustRightInd/>
        <w:snapToGrid/>
        <w:spacing w:line="560" w:lineRule="exact"/>
        <w:ind w:firstLine="1600" w:firstLineChars="500"/>
        <w:textAlignment w:val="auto"/>
        <w:outlineLvl w:val="9"/>
        <w:rPr>
          <w:rFonts w:hint="eastAsia"/>
          <w:lang w:val="en-US" w:eastAsia="zh-CN"/>
        </w:rPr>
      </w:pPr>
      <w:r>
        <w:rPr>
          <w:rFonts w:hint="eastAsia"/>
          <w:lang w:val="en-US" w:eastAsia="zh-CN"/>
        </w:rPr>
        <w:t>二、法律条款</w:t>
      </w:r>
    </w:p>
    <w:p>
      <w:pPr>
        <w:keepNext w:val="0"/>
        <w:keepLines w:val="0"/>
        <w:pageBreakBefore w:val="0"/>
        <w:widowControl w:val="0"/>
        <w:kinsoku/>
        <w:wordWrap/>
        <w:overflowPunct w:val="0"/>
        <w:topLinePunct w:val="0"/>
        <w:autoSpaceDE/>
        <w:autoSpaceDN/>
        <w:bidi w:val="0"/>
        <w:adjustRightInd/>
        <w:snapToGrid/>
        <w:spacing w:line="560" w:lineRule="exact"/>
        <w:ind w:firstLine="1600" w:firstLineChars="500"/>
        <w:textAlignment w:val="auto"/>
        <w:outlineLvl w:val="9"/>
        <w:rPr>
          <w:rFonts w:hint="default"/>
          <w:lang w:val="en-US" w:eastAsia="zh-CN"/>
        </w:rPr>
      </w:pPr>
      <w:r>
        <w:rPr>
          <w:rFonts w:hint="eastAsia"/>
          <w:lang w:val="en-US" w:eastAsia="zh-CN"/>
        </w:rPr>
        <w:t>三、调查情况</w:t>
      </w:r>
    </w:p>
    <w:p>
      <w:pPr>
        <w:pStyle w:val="2"/>
        <w:keepNext w:val="0"/>
        <w:keepLines w:val="0"/>
        <w:pageBreakBefore w:val="0"/>
        <w:widowControl w:val="0"/>
        <w:kinsoku/>
        <w:wordWrap/>
        <w:overflowPunct w:val="0"/>
        <w:topLinePunct w:val="0"/>
        <w:autoSpaceDE/>
        <w:autoSpaceDN/>
        <w:bidi w:val="0"/>
        <w:adjustRightInd/>
        <w:snapToGrid/>
        <w:spacing w:line="560" w:lineRule="exact"/>
        <w:textAlignment w:val="auto"/>
        <w:outlineLvl w:val="9"/>
        <w:rPr>
          <w:rFonts w:hint="eastAsia"/>
          <w:lang w:val="en-US" w:eastAsia="zh-CN"/>
        </w:rPr>
      </w:pPr>
      <w:r>
        <w:rPr>
          <w:rFonts w:hint="eastAsia"/>
          <w:lang w:val="en-US" w:eastAsia="zh-CN"/>
        </w:rPr>
        <w:t>（此页无正文）</w:t>
      </w:r>
    </w:p>
    <w:p>
      <w:pPr>
        <w:pStyle w:val="2"/>
        <w:keepNext w:val="0"/>
        <w:keepLines w:val="0"/>
        <w:pageBreakBefore w:val="0"/>
        <w:widowControl w:val="0"/>
        <w:kinsoku/>
        <w:wordWrap/>
        <w:overflowPunct w:val="0"/>
        <w:topLinePunct w:val="0"/>
        <w:autoSpaceDE/>
        <w:autoSpaceDN/>
        <w:bidi w:val="0"/>
        <w:adjustRightInd/>
        <w:snapToGrid/>
        <w:spacing w:line="560" w:lineRule="exact"/>
        <w:textAlignment w:val="auto"/>
        <w:outlineLvl w:val="9"/>
        <w:rPr>
          <w:rFonts w:hint="eastAsia"/>
          <w:color w:val="auto"/>
          <w:lang w:eastAsia="zh-CN"/>
        </w:rPr>
      </w:pPr>
    </w:p>
    <w:p>
      <w:pPr>
        <w:keepNext w:val="0"/>
        <w:keepLines w:val="0"/>
        <w:pageBreakBefore w:val="0"/>
        <w:widowControl w:val="0"/>
        <w:kinsoku/>
        <w:wordWrap/>
        <w:overflowPunct w:val="0"/>
        <w:topLinePunct w:val="0"/>
        <w:autoSpaceDE/>
        <w:autoSpaceDN/>
        <w:bidi w:val="0"/>
        <w:adjustRightInd/>
        <w:snapToGrid/>
        <w:spacing w:line="560" w:lineRule="exact"/>
        <w:textAlignment w:val="auto"/>
        <w:outlineLvl w:val="9"/>
        <w:rPr>
          <w:rFonts w:hint="eastAsia"/>
          <w:color w:val="auto"/>
          <w:lang w:eastAsia="zh-CN"/>
        </w:rPr>
      </w:pPr>
    </w:p>
    <w:p>
      <w:pPr>
        <w:pStyle w:val="2"/>
        <w:keepNext w:val="0"/>
        <w:keepLines w:val="0"/>
        <w:pageBreakBefore w:val="0"/>
        <w:widowControl w:val="0"/>
        <w:kinsoku/>
        <w:wordWrap/>
        <w:overflowPunct w:val="0"/>
        <w:topLinePunct w:val="0"/>
        <w:autoSpaceDE/>
        <w:autoSpaceDN/>
        <w:bidi w:val="0"/>
        <w:adjustRightInd/>
        <w:snapToGrid/>
        <w:spacing w:line="560" w:lineRule="exact"/>
        <w:textAlignment w:val="auto"/>
        <w:outlineLvl w:val="9"/>
        <w:rPr>
          <w:rFonts w:hint="eastAsia"/>
          <w:lang w:eastAsia="zh-CN"/>
        </w:rPr>
      </w:pPr>
    </w:p>
    <w:p>
      <w:pPr>
        <w:keepNext w:val="0"/>
        <w:keepLines w:val="0"/>
        <w:pageBreakBefore w:val="0"/>
        <w:widowControl w:val="0"/>
        <w:kinsoku/>
        <w:wordWrap/>
        <w:topLinePunct w:val="0"/>
        <w:autoSpaceDE/>
        <w:autoSpaceDN/>
        <w:bidi w:val="0"/>
        <w:adjustRightInd/>
        <w:snapToGrid/>
        <w:spacing w:line="560" w:lineRule="exact"/>
        <w:jc w:val="right"/>
        <w:textAlignment w:val="auto"/>
        <w:rPr>
          <w:rFonts w:hint="eastAsia"/>
          <w:color w:val="auto"/>
          <w:lang w:eastAsia="zh-CN"/>
        </w:rPr>
      </w:pPr>
      <w:r>
        <w:rPr>
          <w:rFonts w:hint="eastAsia"/>
          <w:color w:val="auto"/>
          <w:lang w:eastAsia="zh-CN"/>
        </w:rPr>
        <w:t>“</w:t>
      </w:r>
      <w:r>
        <w:rPr>
          <w:rFonts w:hint="eastAsia"/>
          <w:color w:val="auto"/>
          <w:lang w:val="en-US" w:eastAsia="zh-CN"/>
        </w:rPr>
        <w:t>11</w:t>
      </w:r>
      <w:r>
        <w:rPr>
          <w:rFonts w:hint="eastAsia"/>
          <w:color w:val="auto"/>
          <w:lang w:eastAsia="zh-CN"/>
        </w:rPr>
        <w:t>·</w:t>
      </w:r>
      <w:r>
        <w:rPr>
          <w:rFonts w:hint="eastAsia"/>
          <w:color w:val="auto"/>
          <w:lang w:val="en-US" w:eastAsia="zh-CN"/>
        </w:rPr>
        <w:t>30”</w:t>
      </w:r>
      <w:r>
        <w:rPr>
          <w:rFonts w:hint="eastAsia"/>
          <w:color w:val="auto"/>
          <w:lang w:eastAsia="zh-CN"/>
        </w:rPr>
        <w:t>一般生产安全</w:t>
      </w:r>
    </w:p>
    <w:p>
      <w:pPr>
        <w:keepNext w:val="0"/>
        <w:keepLines w:val="0"/>
        <w:pageBreakBefore w:val="0"/>
        <w:widowControl w:val="0"/>
        <w:kinsoku/>
        <w:wordWrap/>
        <w:topLinePunct w:val="0"/>
        <w:autoSpaceDE/>
        <w:autoSpaceDN/>
        <w:bidi w:val="0"/>
        <w:adjustRightInd/>
        <w:snapToGrid/>
        <w:spacing w:line="560" w:lineRule="exact"/>
        <w:jc w:val="center"/>
        <w:textAlignment w:val="auto"/>
        <w:rPr>
          <w:rFonts w:hint="eastAsia" w:eastAsia="仿宋_GB2312"/>
          <w:color w:val="auto"/>
          <w:lang w:val="en-US" w:eastAsia="zh-CN"/>
        </w:rPr>
      </w:pPr>
      <w:r>
        <w:rPr>
          <w:rFonts w:hint="eastAsia"/>
          <w:color w:val="auto"/>
          <w:lang w:val="en-US" w:eastAsia="zh-CN"/>
        </w:rPr>
        <w:t xml:space="preserve">                               </w:t>
      </w:r>
      <w:r>
        <w:rPr>
          <w:rFonts w:hint="eastAsia"/>
          <w:color w:val="auto"/>
          <w:lang w:eastAsia="zh-CN"/>
        </w:rPr>
        <w:t>责任</w:t>
      </w:r>
      <w:r>
        <w:rPr>
          <w:rFonts w:hint="eastAsia"/>
          <w:color w:val="auto"/>
        </w:rPr>
        <w:t>事故调查</w:t>
      </w:r>
      <w:r>
        <w:rPr>
          <w:rFonts w:hint="eastAsia"/>
          <w:color w:val="auto"/>
          <w:lang w:eastAsia="zh-CN"/>
        </w:rPr>
        <w:t>组</w:t>
      </w:r>
    </w:p>
    <w:p>
      <w:pPr>
        <w:keepNext w:val="0"/>
        <w:keepLines w:val="0"/>
        <w:pageBreakBefore w:val="0"/>
        <w:widowControl w:val="0"/>
        <w:kinsoku/>
        <w:wordWrap/>
        <w:topLinePunct w:val="0"/>
        <w:autoSpaceDE/>
        <w:autoSpaceDN/>
        <w:bidi w:val="0"/>
        <w:adjustRightInd/>
        <w:snapToGrid/>
        <w:spacing w:line="560" w:lineRule="exact"/>
        <w:ind w:firstLine="640"/>
        <w:jc w:val="center"/>
        <w:textAlignment w:val="auto"/>
        <w:rPr>
          <w:rFonts w:hint="eastAsia"/>
          <w:color w:val="auto"/>
        </w:rPr>
      </w:pPr>
      <w:r>
        <w:rPr>
          <w:rFonts w:hint="eastAsia"/>
          <w:color w:val="auto"/>
          <w:lang w:val="en-US" w:eastAsia="zh-CN"/>
        </w:rPr>
        <w:t xml:space="preserve">                                2</w:t>
      </w:r>
      <w:r>
        <w:rPr>
          <w:rFonts w:hint="eastAsia"/>
          <w:color w:val="auto"/>
        </w:rPr>
        <w:t>02</w:t>
      </w:r>
      <w:r>
        <w:rPr>
          <w:rFonts w:hint="eastAsia"/>
          <w:color w:val="auto"/>
          <w:lang w:val="en-US" w:eastAsia="zh-CN"/>
        </w:rPr>
        <w:t>4</w:t>
      </w:r>
      <w:r>
        <w:rPr>
          <w:rFonts w:hint="eastAsia"/>
          <w:color w:val="auto"/>
        </w:rPr>
        <w:t>年</w:t>
      </w:r>
      <w:r>
        <w:rPr>
          <w:rFonts w:hint="eastAsia"/>
          <w:color w:val="auto"/>
          <w:lang w:val="en-US" w:eastAsia="zh-CN"/>
        </w:rPr>
        <w:t>2</w:t>
      </w:r>
      <w:r>
        <w:rPr>
          <w:rFonts w:hint="eastAsia"/>
          <w:color w:val="auto"/>
        </w:rPr>
        <w:t>月</w:t>
      </w:r>
      <w:r>
        <w:rPr>
          <w:rFonts w:hint="eastAsia"/>
          <w:color w:val="auto"/>
          <w:lang w:val="en-US" w:eastAsia="zh-CN"/>
        </w:rPr>
        <w:t>2</w:t>
      </w:r>
      <w:r>
        <w:rPr>
          <w:rFonts w:hint="eastAsia"/>
          <w:color w:val="auto"/>
        </w:rPr>
        <w:t>日</w:t>
      </w:r>
    </w:p>
    <w:p>
      <w:pPr>
        <w:keepNext w:val="0"/>
        <w:keepLines w:val="0"/>
        <w:pageBreakBefore w:val="0"/>
        <w:widowControl w:val="0"/>
        <w:kinsoku/>
        <w:wordWrap/>
        <w:topLinePunct w:val="0"/>
        <w:autoSpaceDE/>
        <w:autoSpaceDN/>
        <w:bidi w:val="0"/>
        <w:spacing w:line="560" w:lineRule="exact"/>
        <w:textAlignment w:val="auto"/>
        <w:rPr>
          <w:rFonts w:hint="eastAsia"/>
          <w:color w:val="auto"/>
        </w:rPr>
      </w:pPr>
      <w:r>
        <w:rPr>
          <w:rFonts w:hint="eastAsia"/>
          <w:color w:val="auto"/>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黑体" w:hAnsi="黑体" w:eastAsia="黑体" w:cs="黑体"/>
          <w:b w:val="0"/>
          <w:bCs w:val="0"/>
          <w:color w:val="auto"/>
          <w:szCs w:val="32"/>
          <w:lang w:val="en-US" w:eastAsia="zh-CN"/>
        </w:rPr>
      </w:pPr>
      <w:r>
        <w:rPr>
          <w:rFonts w:hint="eastAsia" w:ascii="黑体" w:hAnsi="黑体" w:eastAsia="黑体" w:cs="黑体"/>
          <w:b w:val="0"/>
          <w:bCs w:val="0"/>
          <w:color w:val="auto"/>
          <w:szCs w:val="32"/>
          <w:lang w:val="en-US" w:eastAsia="zh-CN"/>
        </w:rPr>
        <w:t>附件一</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cs="仿宋_GB2312"/>
          <w:b w:val="0"/>
          <w:bCs w:val="0"/>
          <w:color w:val="auto"/>
          <w:szCs w:val="32"/>
          <w:lang w:val="en-US" w:eastAsia="zh-CN"/>
        </w:rPr>
      </w:pPr>
      <w:r>
        <w:rPr>
          <w:rFonts w:hint="eastAsia" w:cs="仿宋_GB2312"/>
          <w:b w:val="0"/>
          <w:bCs w:val="0"/>
          <w:color w:val="auto"/>
          <w:szCs w:val="32"/>
          <w:lang w:val="en-US" w:eastAsia="zh-CN"/>
        </w:rPr>
        <w:t>2023年12月4日，事故调查组委托司法鉴定科学研究院对重型货车进行鉴定，出具《司法鉴定科学研究院司法鉴定意见书》（司鉴院[2023]交鉴字第2195号），鉴定意见：重型货车驾驶室翻转系统的液压举升装置功能早期失效，该车驾驶室翻转系统支撑装置未配备保险自锁构件，该车驾驶室后方翻转锁止装置功能早期失效。</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eastAsia" w:cs="仿宋_GB2312"/>
          <w:b w:val="0"/>
          <w:bCs w:val="0"/>
          <w:color w:val="auto"/>
          <w:szCs w:val="32"/>
          <w:lang w:val="en-US" w:eastAsia="zh-CN"/>
        </w:rPr>
      </w:pPr>
      <w:r>
        <w:rPr>
          <w:rFonts w:hint="eastAsia" w:cs="仿宋_GB2312"/>
          <w:b w:val="0"/>
          <w:bCs w:val="0"/>
          <w:color w:val="auto"/>
          <w:szCs w:val="32"/>
          <w:lang w:val="en-US" w:eastAsia="zh-CN"/>
        </w:rPr>
        <w:drawing>
          <wp:inline distT="0" distB="0" distL="114300" distR="114300">
            <wp:extent cx="5616575" cy="7935595"/>
            <wp:effectExtent l="0" t="0" r="6985" b="4445"/>
            <wp:docPr id="3" name="图片 3" descr="image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6929"/>
                    <pic:cNvPicPr>
                      <a:picLocks noChangeAspect="1"/>
                    </pic:cNvPicPr>
                  </pic:nvPicPr>
                  <pic:blipFill>
                    <a:blip r:embed="rId6"/>
                    <a:stretch>
                      <a:fillRect/>
                    </a:stretch>
                  </pic:blipFill>
                  <pic:spPr>
                    <a:xfrm>
                      <a:off x="0" y="0"/>
                      <a:ext cx="5616575" cy="7935595"/>
                    </a:xfrm>
                    <a:prstGeom prst="rect">
                      <a:avLst/>
                    </a:prstGeom>
                  </pic:spPr>
                </pic:pic>
              </a:graphicData>
            </a:graphic>
          </wp:inline>
        </w:drawing>
      </w:r>
    </w:p>
    <w:p>
      <w:pPr>
        <w:pStyle w:val="2"/>
        <w:keepNext w:val="0"/>
        <w:keepLines w:val="0"/>
        <w:pageBreakBefore w:val="0"/>
        <w:widowControl w:val="0"/>
        <w:kinsoku/>
        <w:wordWrap/>
        <w:topLinePunct w:val="0"/>
        <w:autoSpaceDE/>
        <w:autoSpaceDN/>
        <w:bidi w:val="0"/>
        <w:spacing w:line="240" w:lineRule="auto"/>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5616575" cy="7935595"/>
            <wp:effectExtent l="0" t="0" r="6985" b="4445"/>
            <wp:docPr id="5" name="图片 5" descr="image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6930"/>
                    <pic:cNvPicPr>
                      <a:picLocks noChangeAspect="1"/>
                    </pic:cNvPicPr>
                  </pic:nvPicPr>
                  <pic:blipFill>
                    <a:blip r:embed="rId7"/>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6" name="图片 6" descr="image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6931"/>
                    <pic:cNvPicPr>
                      <a:picLocks noChangeAspect="1"/>
                    </pic:cNvPicPr>
                  </pic:nvPicPr>
                  <pic:blipFill>
                    <a:blip r:embed="rId8"/>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7" name="图片 7" descr="image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6932"/>
                    <pic:cNvPicPr>
                      <a:picLocks noChangeAspect="1"/>
                    </pic:cNvPicPr>
                  </pic:nvPicPr>
                  <pic:blipFill>
                    <a:blip r:embed="rId9"/>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8" name="图片 8" descr="image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6933"/>
                    <pic:cNvPicPr>
                      <a:picLocks noChangeAspect="1"/>
                    </pic:cNvPicPr>
                  </pic:nvPicPr>
                  <pic:blipFill>
                    <a:blip r:embed="rId10"/>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9" name="图片 9" descr="image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6934"/>
                    <pic:cNvPicPr>
                      <a:picLocks noChangeAspect="1"/>
                    </pic:cNvPicPr>
                  </pic:nvPicPr>
                  <pic:blipFill>
                    <a:blip r:embed="rId11"/>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14" name="图片 14" descr="image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6936"/>
                    <pic:cNvPicPr>
                      <a:picLocks noChangeAspect="1"/>
                    </pic:cNvPicPr>
                  </pic:nvPicPr>
                  <pic:blipFill>
                    <a:blip r:embed="rId12"/>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11" name="图片 11" descr="image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6935"/>
                    <pic:cNvPicPr>
                      <a:picLocks noChangeAspect="1"/>
                    </pic:cNvPicPr>
                  </pic:nvPicPr>
                  <pic:blipFill>
                    <a:blip r:embed="rId13"/>
                    <a:stretch>
                      <a:fillRect/>
                    </a:stretch>
                  </pic:blipFill>
                  <pic:spPr>
                    <a:xfrm>
                      <a:off x="0" y="0"/>
                      <a:ext cx="5616575" cy="7935595"/>
                    </a:xfrm>
                    <a:prstGeom prst="rect">
                      <a:avLst/>
                    </a:prstGeom>
                  </pic:spPr>
                </pic:pic>
              </a:graphicData>
            </a:graphic>
          </wp:inline>
        </w:drawing>
      </w:r>
      <w:r>
        <w:rPr>
          <w:rFonts w:hint="eastAsia"/>
          <w:lang w:val="en-US" w:eastAsia="zh-CN"/>
        </w:rPr>
        <w:drawing>
          <wp:inline distT="0" distB="0" distL="114300" distR="114300">
            <wp:extent cx="5616575" cy="7935595"/>
            <wp:effectExtent l="0" t="0" r="6985" b="4445"/>
            <wp:docPr id="12" name="图片 12" descr="image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6936"/>
                    <pic:cNvPicPr>
                      <a:picLocks noChangeAspect="1"/>
                    </pic:cNvPicPr>
                  </pic:nvPicPr>
                  <pic:blipFill>
                    <a:blip r:embed="rId12"/>
                    <a:stretch>
                      <a:fillRect/>
                    </a:stretch>
                  </pic:blipFill>
                  <pic:spPr>
                    <a:xfrm>
                      <a:off x="0" y="0"/>
                      <a:ext cx="5616575" cy="7935595"/>
                    </a:xfrm>
                    <a:prstGeom prst="rect">
                      <a:avLst/>
                    </a:prstGeom>
                  </pic:spPr>
                </pic:pic>
              </a:graphicData>
            </a:graphic>
          </wp:inline>
        </w:drawing>
      </w:r>
      <w:r>
        <w:rPr>
          <w:rFonts w:hint="eastAsia"/>
          <w:lang w:val="en-US" w:eastAsia="zh-CN"/>
        </w:rPr>
        <w:br w:type="page"/>
      </w:r>
    </w:p>
    <w:p>
      <w:pPr>
        <w:keepNext w:val="0"/>
        <w:keepLines w:val="0"/>
        <w:pageBreakBefore w:val="0"/>
        <w:widowControl w:val="0"/>
        <w:kinsoku/>
        <w:wordWrap/>
        <w:overflowPunct w:val="0"/>
        <w:topLinePunct w:val="0"/>
        <w:autoSpaceDE/>
        <w:autoSpaceDN/>
        <w:bidi w:val="0"/>
        <w:snapToGrid/>
        <w:spacing w:line="560" w:lineRule="exact"/>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附件二</w:t>
      </w:r>
    </w:p>
    <w:p>
      <w:pPr>
        <w:pStyle w:val="2"/>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一、《中华人民共和国安全生产法》部分法律条款</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第四条</w:t>
      </w:r>
      <w:r>
        <w:rPr>
          <w:rFonts w:hint="default"/>
          <w:lang w:val="en-US" w:eastAsia="zh-CN"/>
        </w:rPr>
        <w:t xml:space="preserve">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平台经济等新兴行业、领域的生产经营单位应当根据本行业、领域的特点，建立健全并落实全员安全生产责任制，加强从业人员安全生产教育和培训，履行本法和其他法律、法规规定的有关安全生产义务。</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第二十八条第一款</w:t>
      </w:r>
      <w:r>
        <w:rPr>
          <w:rFonts w:hint="default"/>
          <w:lang w:val="en-US" w:eastAsia="zh-CN"/>
        </w:rPr>
        <w:t xml:space="preserve">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第四十一条第二款</w:t>
      </w:r>
      <w:r>
        <w:rPr>
          <w:rFonts w:hint="default"/>
          <w:lang w:val="en-US" w:eastAsia="zh-CN"/>
        </w:rPr>
        <w:t xml:space="preserve">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第四十四条第一款</w:t>
      </w:r>
      <w:r>
        <w:rPr>
          <w:rFonts w:hint="default"/>
          <w:lang w:val="en-US" w:eastAsia="zh-CN"/>
        </w:rPr>
        <w:t xml:space="preserve">  生产经营单位应当教育和督促从业人员严格执行本单位的安全生产规章制度和安全操作规程；并向从业人员如实告知作业场所和工作岗位存在的危险因素、防范措施以及事故应急措施。</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第四十九条第一款</w:t>
      </w:r>
      <w:r>
        <w:rPr>
          <w:rFonts w:hint="eastAsia"/>
          <w:b/>
          <w:bCs/>
          <w:lang w:val="en-US" w:eastAsia="zh-CN"/>
        </w:rPr>
        <w:t>、第二款</w:t>
      </w:r>
      <w:r>
        <w:rPr>
          <w:rFonts w:hint="default"/>
          <w:lang w:val="en-US" w:eastAsia="zh-CN"/>
        </w:rPr>
        <w:t xml:space="preserve">  生产经营单位不得将生产经营项目、场所、设备发包或者出租给不具备安全生产条件或者相应资质的单位或者个人。</w:t>
      </w:r>
    </w:p>
    <w:p>
      <w:pPr>
        <w:pStyle w:val="2"/>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第九十六条</w:t>
      </w:r>
      <w:r>
        <w:rPr>
          <w:rFonts w:hint="default"/>
          <w:lang w:val="en-US" w:eastAsia="zh-CN"/>
        </w:rPr>
        <w:t xml:space="preserve">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第一百一十四条第一款第一项</w:t>
      </w:r>
      <w:r>
        <w:rPr>
          <w:rFonts w:hint="default"/>
          <w:lang w:val="en-US" w:eastAsia="zh-CN"/>
        </w:rPr>
        <w:t xml:space="preserve">  发生生产安全事故，对负有责任的生产经营单位除要求其依法承担相应的赔偿等责任外，由应急管理部门依照下列规定处以罚款:</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（一）发生一般事故的，处三十万元以上一百万元以下的罚款。</w:t>
      </w:r>
    </w:p>
    <w:p>
      <w:pPr>
        <w:keepNext w:val="0"/>
        <w:keepLines w:val="0"/>
        <w:pageBreakBefore w:val="0"/>
        <w:widowControl w:val="0"/>
        <w:kinsoku/>
        <w:wordWrap/>
        <w:overflowPunct w:val="0"/>
        <w:topLinePunct w:val="0"/>
        <w:autoSpaceDE/>
        <w:autoSpaceDN/>
        <w:bidi w:val="0"/>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二、《中华人民共和国道路交通安全法》部分法律条款</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第十二条第四项</w:t>
      </w:r>
      <w:r>
        <w:rPr>
          <w:rFonts w:hint="default"/>
          <w:lang w:val="en-US" w:eastAsia="zh-CN"/>
        </w:rPr>
        <w:t xml:space="preserve">  有下列情形之一的，应当办理相应的登记：</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（四）机动车报废的。</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第十四条</w:t>
      </w:r>
      <w:r>
        <w:rPr>
          <w:rFonts w:hint="default"/>
          <w:lang w:val="en-US" w:eastAsia="zh-CN"/>
        </w:rPr>
        <w:t xml:space="preserve">  国家实行机动车强制报废制度，根据机动车的安全技术状况和不同用途，规定不同的报废标准。</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应当报废的机动车必须及时办理注销登记。</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lang w:val="en-US" w:eastAsia="zh-CN"/>
        </w:rPr>
        <w:t>达到报废标准的机动车不得上道路行驶。报废的大型客、货车及其他营运车辆应当在公安机关交通管理部门的监督下解体。</w:t>
      </w:r>
    </w:p>
    <w:p>
      <w:pPr>
        <w:keepNext w:val="0"/>
        <w:keepLines w:val="0"/>
        <w:pageBreakBefore w:val="0"/>
        <w:widowControl w:val="0"/>
        <w:kinsoku/>
        <w:wordWrap/>
        <w:overflowPunct w:val="0"/>
        <w:topLinePunct w:val="0"/>
        <w:autoSpaceDE/>
        <w:autoSpaceDN/>
        <w:bidi w:val="0"/>
        <w:adjustRightInd w:val="0"/>
        <w:snapToGrid/>
        <w:spacing w:line="560" w:lineRule="exact"/>
        <w:ind w:left="0" w:leftChars="0" w:firstLine="640" w:firstLineChars="200"/>
        <w:jc w:val="left"/>
        <w:textAlignment w:val="auto"/>
        <w:outlineLvl w:val="9"/>
        <w:rPr>
          <w:rFonts w:hint="eastAsia" w:ascii="黑体" w:hAnsi="黑体" w:eastAsia="黑体" w:cs="黑体"/>
          <w:lang w:val="en-US" w:eastAsia="zh-CN"/>
        </w:rPr>
      </w:pPr>
      <w:r>
        <w:rPr>
          <w:rFonts w:hint="eastAsia" w:ascii="黑体" w:hAnsi="黑体" w:eastAsia="黑体" w:cs="黑体"/>
          <w:lang w:val="en-US" w:eastAsia="zh-CN"/>
        </w:rPr>
        <w:t>三、《机动车维修管理规定》部分法律条款</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第七条</w:t>
      </w:r>
      <w:r>
        <w:rPr>
          <w:rFonts w:hint="default"/>
          <w:lang w:val="en-US" w:eastAsia="zh-CN"/>
        </w:rPr>
        <w:t xml:space="preserve">  从事机动车维修经营业务的，应当在依法向市场监督管理机构办理有关登记手续后，向所在地县级交通运输主管部门进行备案。</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第二十二条</w:t>
      </w:r>
      <w:r>
        <w:rPr>
          <w:rFonts w:hint="default"/>
          <w:lang w:val="en-US" w:eastAsia="zh-CN"/>
        </w:rPr>
        <w:t xml:space="preserve">  机动车维修经营者不得擅自改装机动车，不得承修已报废的机动车，不得利用配件拼装机动车。</w:t>
      </w:r>
    </w:p>
    <w:p>
      <w:pPr>
        <w:keepNext w:val="0"/>
        <w:keepLines w:val="0"/>
        <w:pageBreakBefore w:val="0"/>
        <w:widowControl w:val="0"/>
        <w:kinsoku/>
        <w:wordWrap/>
        <w:overflowPunct w:val="0"/>
        <w:topLinePunct w:val="0"/>
        <w:autoSpaceDE/>
        <w:autoSpaceDN/>
        <w:bidi w:val="0"/>
        <w:snapToGrid/>
        <w:spacing w:line="560" w:lineRule="exact"/>
        <w:textAlignment w:val="auto"/>
        <w:rPr>
          <w:rFonts w:hint="default"/>
          <w:lang w:val="en-US" w:eastAsia="zh-CN"/>
        </w:rPr>
      </w:pPr>
      <w:r>
        <w:rPr>
          <w:rFonts w:hint="default"/>
          <w:b/>
          <w:bCs/>
          <w:lang w:val="en-US" w:eastAsia="zh-CN"/>
        </w:rPr>
        <w:t>第五十一条</w:t>
      </w:r>
      <w:r>
        <w:rPr>
          <w:rFonts w:hint="default"/>
          <w:lang w:val="en-US" w:eastAsia="zh-CN"/>
        </w:rPr>
        <w:t xml:space="preserve">  违反本规定，机动车维修经营者使用假冒伪劣配件维修机动车，承修已报废的机动车或者擅自改装机动车的，由交通运输主管部门责令改正；有违法所得的，没收违法所得，处违法所得2倍以上10倍以下的罚款；没有违法所得或者违法所得不足1万元的，处2万元以上5万元以下的罚款，没收假冒伪劣配件及报废车辆；情节严重的，由交通运输主管部门责令停业整顿；构成犯罪的，依法追究刑事责任。</w:t>
      </w:r>
    </w:p>
    <w:p>
      <w:pPr>
        <w:rPr>
          <w:rFonts w:hint="default"/>
          <w:lang w:val="en-US" w:eastAsia="zh-CN"/>
        </w:rPr>
      </w:pPr>
      <w:r>
        <w:rPr>
          <w:rFonts w:hint="default"/>
          <w:lang w:val="en-US" w:eastAsia="zh-CN"/>
        </w:rPr>
        <w:br w:type="page"/>
      </w:r>
    </w:p>
    <w:p>
      <w:pPr>
        <w:pStyle w:val="2"/>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outlineLvl w:val="9"/>
        <w:rPr>
          <w:rFonts w:hint="default" w:ascii="黑体" w:hAnsi="黑体" w:eastAsia="黑体" w:cs="黑体"/>
          <w:lang w:val="en-US" w:eastAsia="zh-CN"/>
        </w:rPr>
      </w:pPr>
      <w:r>
        <w:rPr>
          <w:rFonts w:hint="eastAsia" w:ascii="黑体" w:hAnsi="黑体" w:eastAsia="黑体" w:cs="黑体"/>
          <w:lang w:val="en-US" w:eastAsia="zh-CN"/>
        </w:rPr>
        <w:t>附件三</w:t>
      </w:r>
    </w:p>
    <w:p>
      <w:pPr>
        <w:rPr>
          <w:rFonts w:hint="eastAsia"/>
          <w:lang w:val="en-US" w:eastAsia="zh-CN"/>
        </w:rPr>
      </w:pPr>
      <w:r>
        <w:rPr>
          <w:rFonts w:hint="eastAsia" w:ascii="黑体" w:hAnsi="黑体" w:eastAsia="黑体" w:cs="黑体"/>
          <w:lang w:val="en-US" w:eastAsia="zh-CN"/>
        </w:rPr>
        <w:t>一、上海市崇明区人力资源社会保障局调查情况</w:t>
      </w:r>
    </w:p>
    <w:p>
      <w:pPr>
        <w:pStyle w:val="2"/>
        <w:spacing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088255" cy="7200265"/>
            <wp:effectExtent l="0" t="0" r="17145" b="63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4"/>
                    <a:stretch>
                      <a:fillRect/>
                    </a:stretch>
                  </pic:blipFill>
                  <pic:spPr>
                    <a:xfrm>
                      <a:off x="0" y="0"/>
                      <a:ext cx="5088255" cy="7200265"/>
                    </a:xfrm>
                    <a:prstGeom prst="rect">
                      <a:avLst/>
                    </a:prstGeom>
                  </pic:spPr>
                </pic:pic>
              </a:graphicData>
            </a:graphic>
          </wp:inline>
        </w:drawing>
      </w:r>
      <w:bookmarkStart w:id="0" w:name="_GoBack"/>
      <w:bookmarkEnd w:id="0"/>
    </w:p>
    <w:p>
      <w:pPr>
        <w:rPr>
          <w:rFonts w:hint="default"/>
          <w:lang w:val="en-US" w:eastAsia="zh-CN"/>
        </w:rPr>
      </w:pPr>
      <w:r>
        <w:rPr>
          <w:rFonts w:hint="default"/>
          <w:lang w:val="en-US" w:eastAsia="zh-CN"/>
        </w:rPr>
        <w:br w:type="page"/>
      </w:r>
    </w:p>
    <w:p>
      <w:pPr>
        <w:spacing w:line="240" w:lineRule="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二、上海市崇明区交通委员会调查情况</w:t>
      </w:r>
    </w:p>
    <w:p>
      <w:pPr>
        <w:spacing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092065" cy="7200265"/>
            <wp:effectExtent l="0" t="0" r="13335" b="63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5"/>
                    <a:stretch>
                      <a:fillRect/>
                    </a:stretch>
                  </pic:blipFill>
                  <pic:spPr>
                    <a:xfrm>
                      <a:off x="0" y="0"/>
                      <a:ext cx="5092065" cy="7200265"/>
                    </a:xfrm>
                    <a:prstGeom prst="rect">
                      <a:avLst/>
                    </a:prstGeom>
                  </pic:spPr>
                </pic:pic>
              </a:graphicData>
            </a:graphic>
          </wp:inline>
        </w:drawing>
      </w:r>
    </w:p>
    <w:sectPr>
      <w:headerReference r:id="rId3" w:type="default"/>
      <w:footerReference r:id="rId4" w:type="default"/>
      <w:footnotePr>
        <w:numFmt w:val="decimal"/>
      </w:footnotePr>
      <w:pgSz w:w="11906" w:h="16838"/>
      <w:pgMar w:top="2098" w:right="1474" w:bottom="1984" w:left="1587" w:header="851" w:footer="141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left="0" w:leftChars="0" w:firstLine="0" w:firstLineChars="0"/>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6"/>
                      <w:ind w:left="0" w:leftChars="0" w:firstLine="0" w:firstLineChars="0"/>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firstLine="0" w:firstLineChars="0"/>
      <w:rPr>
        <w:rFonts w:hint="default" w:eastAsia="仿宋_GB2312"/>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kMTM0YThkZDhiNjg4NzBiMmM5MzA0YTA3OTM2YjIifQ=="/>
  </w:docVars>
  <w:rsids>
    <w:rsidRoot w:val="08394A96"/>
    <w:rsid w:val="000E7A09"/>
    <w:rsid w:val="001E6581"/>
    <w:rsid w:val="00207DBD"/>
    <w:rsid w:val="0049226C"/>
    <w:rsid w:val="004D7AE1"/>
    <w:rsid w:val="00590981"/>
    <w:rsid w:val="00603E70"/>
    <w:rsid w:val="007314C1"/>
    <w:rsid w:val="00A13C23"/>
    <w:rsid w:val="00A93302"/>
    <w:rsid w:val="00C549BE"/>
    <w:rsid w:val="00D8708D"/>
    <w:rsid w:val="010C567A"/>
    <w:rsid w:val="011226ED"/>
    <w:rsid w:val="011A0721"/>
    <w:rsid w:val="01392A50"/>
    <w:rsid w:val="01447680"/>
    <w:rsid w:val="01771A41"/>
    <w:rsid w:val="01830647"/>
    <w:rsid w:val="0183244B"/>
    <w:rsid w:val="018D389E"/>
    <w:rsid w:val="01945DA8"/>
    <w:rsid w:val="019F3210"/>
    <w:rsid w:val="01B74116"/>
    <w:rsid w:val="01C2525E"/>
    <w:rsid w:val="01DF2774"/>
    <w:rsid w:val="01F0123E"/>
    <w:rsid w:val="0259058E"/>
    <w:rsid w:val="028110AF"/>
    <w:rsid w:val="028257AA"/>
    <w:rsid w:val="028314EC"/>
    <w:rsid w:val="029B3303"/>
    <w:rsid w:val="02AD3A40"/>
    <w:rsid w:val="02B83AFE"/>
    <w:rsid w:val="02BF38E9"/>
    <w:rsid w:val="02CF250E"/>
    <w:rsid w:val="02D063FA"/>
    <w:rsid w:val="02D11938"/>
    <w:rsid w:val="02D72F6F"/>
    <w:rsid w:val="031B4C4F"/>
    <w:rsid w:val="03295466"/>
    <w:rsid w:val="033D1465"/>
    <w:rsid w:val="03547905"/>
    <w:rsid w:val="035F3B1E"/>
    <w:rsid w:val="03715689"/>
    <w:rsid w:val="03AD4FC3"/>
    <w:rsid w:val="03B364B1"/>
    <w:rsid w:val="03E30960"/>
    <w:rsid w:val="03F34AAB"/>
    <w:rsid w:val="04122BA0"/>
    <w:rsid w:val="04127FC1"/>
    <w:rsid w:val="04316261"/>
    <w:rsid w:val="0432486C"/>
    <w:rsid w:val="047800F0"/>
    <w:rsid w:val="047A3A16"/>
    <w:rsid w:val="04BB5E9C"/>
    <w:rsid w:val="04C06F23"/>
    <w:rsid w:val="04CF5D5B"/>
    <w:rsid w:val="04D444DF"/>
    <w:rsid w:val="04EF3F3E"/>
    <w:rsid w:val="04F144DE"/>
    <w:rsid w:val="04F43E8D"/>
    <w:rsid w:val="04FF1065"/>
    <w:rsid w:val="05164547"/>
    <w:rsid w:val="05181B76"/>
    <w:rsid w:val="05202323"/>
    <w:rsid w:val="052A6AF7"/>
    <w:rsid w:val="05562427"/>
    <w:rsid w:val="055F3381"/>
    <w:rsid w:val="056767C7"/>
    <w:rsid w:val="056C1FB2"/>
    <w:rsid w:val="0579177D"/>
    <w:rsid w:val="057B4E41"/>
    <w:rsid w:val="05CA6CD2"/>
    <w:rsid w:val="05DB6A49"/>
    <w:rsid w:val="05F2718C"/>
    <w:rsid w:val="060A79CF"/>
    <w:rsid w:val="06353852"/>
    <w:rsid w:val="0653063C"/>
    <w:rsid w:val="066C7634"/>
    <w:rsid w:val="067A74C8"/>
    <w:rsid w:val="068B4A0B"/>
    <w:rsid w:val="069E1C05"/>
    <w:rsid w:val="06AE4D26"/>
    <w:rsid w:val="06B254BA"/>
    <w:rsid w:val="072640B1"/>
    <w:rsid w:val="075C40BE"/>
    <w:rsid w:val="07852B94"/>
    <w:rsid w:val="07A84BAB"/>
    <w:rsid w:val="07C038D8"/>
    <w:rsid w:val="07DE3D84"/>
    <w:rsid w:val="07EB37A9"/>
    <w:rsid w:val="080159D1"/>
    <w:rsid w:val="08394A96"/>
    <w:rsid w:val="08432933"/>
    <w:rsid w:val="084A0A5F"/>
    <w:rsid w:val="08760498"/>
    <w:rsid w:val="08793C41"/>
    <w:rsid w:val="08866F17"/>
    <w:rsid w:val="088A1999"/>
    <w:rsid w:val="08D760A0"/>
    <w:rsid w:val="08D97A44"/>
    <w:rsid w:val="091E4C67"/>
    <w:rsid w:val="094203FD"/>
    <w:rsid w:val="096F1B34"/>
    <w:rsid w:val="09904510"/>
    <w:rsid w:val="09EB0D93"/>
    <w:rsid w:val="09F844E3"/>
    <w:rsid w:val="0A386D0D"/>
    <w:rsid w:val="0A4A5BA0"/>
    <w:rsid w:val="0A51702C"/>
    <w:rsid w:val="0A602620"/>
    <w:rsid w:val="0A701968"/>
    <w:rsid w:val="0A931297"/>
    <w:rsid w:val="0AAF1924"/>
    <w:rsid w:val="0ABE5AC7"/>
    <w:rsid w:val="0ACD77A0"/>
    <w:rsid w:val="0AD2676E"/>
    <w:rsid w:val="0AE13339"/>
    <w:rsid w:val="0AE176CD"/>
    <w:rsid w:val="0AEB2DBD"/>
    <w:rsid w:val="0AF8028A"/>
    <w:rsid w:val="0B2D2ED4"/>
    <w:rsid w:val="0B6805BD"/>
    <w:rsid w:val="0B6860A8"/>
    <w:rsid w:val="0B6F4A69"/>
    <w:rsid w:val="0B721692"/>
    <w:rsid w:val="0BA811AE"/>
    <w:rsid w:val="0BB03C8B"/>
    <w:rsid w:val="0BB90DEF"/>
    <w:rsid w:val="0BC80A10"/>
    <w:rsid w:val="0BC972EA"/>
    <w:rsid w:val="0BDC6ED2"/>
    <w:rsid w:val="0BE047C5"/>
    <w:rsid w:val="0BE40A55"/>
    <w:rsid w:val="0BE579B5"/>
    <w:rsid w:val="0BEF3EAD"/>
    <w:rsid w:val="0BF60FEC"/>
    <w:rsid w:val="0BF956C6"/>
    <w:rsid w:val="0BFD357D"/>
    <w:rsid w:val="0C111A54"/>
    <w:rsid w:val="0C1B005C"/>
    <w:rsid w:val="0C34364C"/>
    <w:rsid w:val="0C3F1258"/>
    <w:rsid w:val="0C5E6434"/>
    <w:rsid w:val="0C8773D8"/>
    <w:rsid w:val="0C92168D"/>
    <w:rsid w:val="0CE446E6"/>
    <w:rsid w:val="0D1137B3"/>
    <w:rsid w:val="0D4A73F2"/>
    <w:rsid w:val="0D7D7818"/>
    <w:rsid w:val="0D837EAB"/>
    <w:rsid w:val="0D8C1C48"/>
    <w:rsid w:val="0D990551"/>
    <w:rsid w:val="0DB0180F"/>
    <w:rsid w:val="0DD96523"/>
    <w:rsid w:val="0DFD2AB6"/>
    <w:rsid w:val="0E12185E"/>
    <w:rsid w:val="0E1649BB"/>
    <w:rsid w:val="0E16697F"/>
    <w:rsid w:val="0E4527EE"/>
    <w:rsid w:val="0E6439E2"/>
    <w:rsid w:val="0E6809A0"/>
    <w:rsid w:val="0E6D4D18"/>
    <w:rsid w:val="0E774951"/>
    <w:rsid w:val="0E8A7A57"/>
    <w:rsid w:val="0E955A49"/>
    <w:rsid w:val="0EEE6398"/>
    <w:rsid w:val="0EF552FA"/>
    <w:rsid w:val="0F0774AA"/>
    <w:rsid w:val="0F483F47"/>
    <w:rsid w:val="0F4B2CD4"/>
    <w:rsid w:val="0F6E5F63"/>
    <w:rsid w:val="0F793935"/>
    <w:rsid w:val="0FAC1F1C"/>
    <w:rsid w:val="0FDF296D"/>
    <w:rsid w:val="0FEB2D0F"/>
    <w:rsid w:val="0FF26A14"/>
    <w:rsid w:val="10012421"/>
    <w:rsid w:val="10101235"/>
    <w:rsid w:val="1012768E"/>
    <w:rsid w:val="101E726C"/>
    <w:rsid w:val="10231408"/>
    <w:rsid w:val="102C266A"/>
    <w:rsid w:val="106529B7"/>
    <w:rsid w:val="109C2855"/>
    <w:rsid w:val="10B37640"/>
    <w:rsid w:val="10D42CB5"/>
    <w:rsid w:val="10DB146A"/>
    <w:rsid w:val="10E93F18"/>
    <w:rsid w:val="10EA331B"/>
    <w:rsid w:val="10FE5316"/>
    <w:rsid w:val="110525D4"/>
    <w:rsid w:val="110653E5"/>
    <w:rsid w:val="1118359F"/>
    <w:rsid w:val="112F2FC2"/>
    <w:rsid w:val="11401E27"/>
    <w:rsid w:val="11445DCB"/>
    <w:rsid w:val="11D358DE"/>
    <w:rsid w:val="11DC5055"/>
    <w:rsid w:val="11E16658"/>
    <w:rsid w:val="11F83CFB"/>
    <w:rsid w:val="12302A83"/>
    <w:rsid w:val="12480949"/>
    <w:rsid w:val="1261337D"/>
    <w:rsid w:val="1272687F"/>
    <w:rsid w:val="12A31505"/>
    <w:rsid w:val="12CA587A"/>
    <w:rsid w:val="12CD1F8E"/>
    <w:rsid w:val="12D3755A"/>
    <w:rsid w:val="13050917"/>
    <w:rsid w:val="13304D38"/>
    <w:rsid w:val="13467A64"/>
    <w:rsid w:val="13526F2E"/>
    <w:rsid w:val="135F6EF8"/>
    <w:rsid w:val="139E664A"/>
    <w:rsid w:val="13AD6391"/>
    <w:rsid w:val="13B54A23"/>
    <w:rsid w:val="13B848EF"/>
    <w:rsid w:val="13E76483"/>
    <w:rsid w:val="13FA2395"/>
    <w:rsid w:val="13FC3AB3"/>
    <w:rsid w:val="1402179B"/>
    <w:rsid w:val="142D7659"/>
    <w:rsid w:val="145A1973"/>
    <w:rsid w:val="146A1861"/>
    <w:rsid w:val="1470018E"/>
    <w:rsid w:val="149524C7"/>
    <w:rsid w:val="149F0CA9"/>
    <w:rsid w:val="14C35596"/>
    <w:rsid w:val="14F7391E"/>
    <w:rsid w:val="1511730C"/>
    <w:rsid w:val="154F49F1"/>
    <w:rsid w:val="155342C4"/>
    <w:rsid w:val="15590428"/>
    <w:rsid w:val="15612035"/>
    <w:rsid w:val="15A40B45"/>
    <w:rsid w:val="15AC7340"/>
    <w:rsid w:val="15D771B5"/>
    <w:rsid w:val="15E37979"/>
    <w:rsid w:val="15E71DAD"/>
    <w:rsid w:val="15F06302"/>
    <w:rsid w:val="15FC7E20"/>
    <w:rsid w:val="16125F27"/>
    <w:rsid w:val="16191622"/>
    <w:rsid w:val="16371C2E"/>
    <w:rsid w:val="16560D2A"/>
    <w:rsid w:val="167F08B1"/>
    <w:rsid w:val="168052AD"/>
    <w:rsid w:val="168901A7"/>
    <w:rsid w:val="16960B7B"/>
    <w:rsid w:val="169C5CEE"/>
    <w:rsid w:val="16B301FC"/>
    <w:rsid w:val="16DD6508"/>
    <w:rsid w:val="16E0299F"/>
    <w:rsid w:val="170578B5"/>
    <w:rsid w:val="172446D5"/>
    <w:rsid w:val="17740DEF"/>
    <w:rsid w:val="17BA144C"/>
    <w:rsid w:val="17D227EF"/>
    <w:rsid w:val="17FB415F"/>
    <w:rsid w:val="181902EF"/>
    <w:rsid w:val="18225735"/>
    <w:rsid w:val="18261055"/>
    <w:rsid w:val="185902E9"/>
    <w:rsid w:val="185C07E1"/>
    <w:rsid w:val="18643EF2"/>
    <w:rsid w:val="18647E56"/>
    <w:rsid w:val="18677FA4"/>
    <w:rsid w:val="18720AD4"/>
    <w:rsid w:val="187F33FE"/>
    <w:rsid w:val="18A9362B"/>
    <w:rsid w:val="18CA7AB4"/>
    <w:rsid w:val="18E91463"/>
    <w:rsid w:val="18EC6F4B"/>
    <w:rsid w:val="18F13C03"/>
    <w:rsid w:val="18FB5274"/>
    <w:rsid w:val="19331BEA"/>
    <w:rsid w:val="193B58ED"/>
    <w:rsid w:val="194D0424"/>
    <w:rsid w:val="194E4E21"/>
    <w:rsid w:val="19695BCA"/>
    <w:rsid w:val="196F3011"/>
    <w:rsid w:val="19701DCB"/>
    <w:rsid w:val="198F0EF1"/>
    <w:rsid w:val="19AC0A0B"/>
    <w:rsid w:val="19B212E5"/>
    <w:rsid w:val="19E62E5D"/>
    <w:rsid w:val="19E841ED"/>
    <w:rsid w:val="1A05435B"/>
    <w:rsid w:val="1A072865"/>
    <w:rsid w:val="1A15387E"/>
    <w:rsid w:val="1A4A152A"/>
    <w:rsid w:val="1A7638B3"/>
    <w:rsid w:val="1A9A2720"/>
    <w:rsid w:val="1AAC6AD1"/>
    <w:rsid w:val="1AD71F34"/>
    <w:rsid w:val="1B006903"/>
    <w:rsid w:val="1B054E05"/>
    <w:rsid w:val="1B826952"/>
    <w:rsid w:val="1BC90881"/>
    <w:rsid w:val="1BFE34C8"/>
    <w:rsid w:val="1C122471"/>
    <w:rsid w:val="1C393E65"/>
    <w:rsid w:val="1C39522C"/>
    <w:rsid w:val="1C3B4042"/>
    <w:rsid w:val="1C544EB7"/>
    <w:rsid w:val="1C7700D0"/>
    <w:rsid w:val="1CB84EAD"/>
    <w:rsid w:val="1CC54EDC"/>
    <w:rsid w:val="1CD664C9"/>
    <w:rsid w:val="1CD66FF4"/>
    <w:rsid w:val="1CDF5A2C"/>
    <w:rsid w:val="1CE804A1"/>
    <w:rsid w:val="1CF73758"/>
    <w:rsid w:val="1D2E7520"/>
    <w:rsid w:val="1D4622ED"/>
    <w:rsid w:val="1D574654"/>
    <w:rsid w:val="1D684334"/>
    <w:rsid w:val="1D7634BC"/>
    <w:rsid w:val="1D77605B"/>
    <w:rsid w:val="1D7E7FE8"/>
    <w:rsid w:val="1D837686"/>
    <w:rsid w:val="1D8F44F7"/>
    <w:rsid w:val="1D95169F"/>
    <w:rsid w:val="1DA23F57"/>
    <w:rsid w:val="1DCA11AB"/>
    <w:rsid w:val="1E2E4278"/>
    <w:rsid w:val="1E4F104C"/>
    <w:rsid w:val="1E64014C"/>
    <w:rsid w:val="1E86658B"/>
    <w:rsid w:val="1E902D3E"/>
    <w:rsid w:val="1F206B53"/>
    <w:rsid w:val="1F571467"/>
    <w:rsid w:val="1F77712C"/>
    <w:rsid w:val="1F8920DD"/>
    <w:rsid w:val="1F992154"/>
    <w:rsid w:val="1F9A12E0"/>
    <w:rsid w:val="1FA82C37"/>
    <w:rsid w:val="1FBD14AF"/>
    <w:rsid w:val="1FF73C9B"/>
    <w:rsid w:val="1FFE7559"/>
    <w:rsid w:val="200A2B8E"/>
    <w:rsid w:val="203D0A86"/>
    <w:rsid w:val="204E4781"/>
    <w:rsid w:val="205A7D29"/>
    <w:rsid w:val="207E6980"/>
    <w:rsid w:val="20CF77A0"/>
    <w:rsid w:val="20DE092E"/>
    <w:rsid w:val="20E3764F"/>
    <w:rsid w:val="21056583"/>
    <w:rsid w:val="211307A1"/>
    <w:rsid w:val="213B6BE4"/>
    <w:rsid w:val="21454BB1"/>
    <w:rsid w:val="215A5E94"/>
    <w:rsid w:val="215D3ACC"/>
    <w:rsid w:val="217B4653"/>
    <w:rsid w:val="217D35AF"/>
    <w:rsid w:val="21B8740E"/>
    <w:rsid w:val="21C42081"/>
    <w:rsid w:val="221D4747"/>
    <w:rsid w:val="2241494C"/>
    <w:rsid w:val="22624FB6"/>
    <w:rsid w:val="226D24DB"/>
    <w:rsid w:val="227B04ED"/>
    <w:rsid w:val="22B24902"/>
    <w:rsid w:val="22BC3F84"/>
    <w:rsid w:val="22C3285F"/>
    <w:rsid w:val="22D45C4F"/>
    <w:rsid w:val="22F773F7"/>
    <w:rsid w:val="230509C7"/>
    <w:rsid w:val="232A2776"/>
    <w:rsid w:val="232B7AAD"/>
    <w:rsid w:val="232F6551"/>
    <w:rsid w:val="234822C0"/>
    <w:rsid w:val="235D2FC3"/>
    <w:rsid w:val="237F562E"/>
    <w:rsid w:val="239B6B48"/>
    <w:rsid w:val="23BE6749"/>
    <w:rsid w:val="23FD71AC"/>
    <w:rsid w:val="24001662"/>
    <w:rsid w:val="240A64ED"/>
    <w:rsid w:val="245C50AD"/>
    <w:rsid w:val="248F3D47"/>
    <w:rsid w:val="24C30E24"/>
    <w:rsid w:val="24D71699"/>
    <w:rsid w:val="24D8371E"/>
    <w:rsid w:val="24DA2759"/>
    <w:rsid w:val="24E04B79"/>
    <w:rsid w:val="24E43046"/>
    <w:rsid w:val="25086761"/>
    <w:rsid w:val="250D3571"/>
    <w:rsid w:val="25303CF9"/>
    <w:rsid w:val="255B4FAB"/>
    <w:rsid w:val="25655E09"/>
    <w:rsid w:val="256A2B26"/>
    <w:rsid w:val="256A561D"/>
    <w:rsid w:val="256D1FB9"/>
    <w:rsid w:val="25990FAA"/>
    <w:rsid w:val="25A65571"/>
    <w:rsid w:val="25AF7424"/>
    <w:rsid w:val="25BE54A6"/>
    <w:rsid w:val="25C76133"/>
    <w:rsid w:val="25DF5500"/>
    <w:rsid w:val="25F16C05"/>
    <w:rsid w:val="263B65B4"/>
    <w:rsid w:val="265345F8"/>
    <w:rsid w:val="265D37A3"/>
    <w:rsid w:val="265F2CCC"/>
    <w:rsid w:val="26750342"/>
    <w:rsid w:val="268E49FD"/>
    <w:rsid w:val="26C27358"/>
    <w:rsid w:val="26C43198"/>
    <w:rsid w:val="26D81B8C"/>
    <w:rsid w:val="26DF5031"/>
    <w:rsid w:val="26F10723"/>
    <w:rsid w:val="26FF58BD"/>
    <w:rsid w:val="27093989"/>
    <w:rsid w:val="27176387"/>
    <w:rsid w:val="271C43EE"/>
    <w:rsid w:val="275333BB"/>
    <w:rsid w:val="27545985"/>
    <w:rsid w:val="2767486B"/>
    <w:rsid w:val="277729DA"/>
    <w:rsid w:val="279A0DC2"/>
    <w:rsid w:val="27AA5058"/>
    <w:rsid w:val="27AE4DB2"/>
    <w:rsid w:val="27AE55B0"/>
    <w:rsid w:val="27C30FD3"/>
    <w:rsid w:val="27F037CE"/>
    <w:rsid w:val="287C097F"/>
    <w:rsid w:val="287D6485"/>
    <w:rsid w:val="28806D1F"/>
    <w:rsid w:val="28837EFC"/>
    <w:rsid w:val="28A03E08"/>
    <w:rsid w:val="28AD287B"/>
    <w:rsid w:val="28C07048"/>
    <w:rsid w:val="28D94356"/>
    <w:rsid w:val="28EC6997"/>
    <w:rsid w:val="28FB41AB"/>
    <w:rsid w:val="28FB59DC"/>
    <w:rsid w:val="292629C6"/>
    <w:rsid w:val="29481263"/>
    <w:rsid w:val="29516C69"/>
    <w:rsid w:val="29547EDA"/>
    <w:rsid w:val="29686350"/>
    <w:rsid w:val="296C7EC7"/>
    <w:rsid w:val="29771AF0"/>
    <w:rsid w:val="29816B44"/>
    <w:rsid w:val="299E5695"/>
    <w:rsid w:val="29B41DD9"/>
    <w:rsid w:val="29DF3E44"/>
    <w:rsid w:val="29F60420"/>
    <w:rsid w:val="29FB6656"/>
    <w:rsid w:val="2A025889"/>
    <w:rsid w:val="2A1C26AD"/>
    <w:rsid w:val="2A231338"/>
    <w:rsid w:val="2A2403F7"/>
    <w:rsid w:val="2A240ECF"/>
    <w:rsid w:val="2A8236E5"/>
    <w:rsid w:val="2A97034A"/>
    <w:rsid w:val="2A990C18"/>
    <w:rsid w:val="2AA97CD8"/>
    <w:rsid w:val="2ABD7F41"/>
    <w:rsid w:val="2ACE29F4"/>
    <w:rsid w:val="2AF073D3"/>
    <w:rsid w:val="2B1F6981"/>
    <w:rsid w:val="2B3269D9"/>
    <w:rsid w:val="2B4755C6"/>
    <w:rsid w:val="2B6D3568"/>
    <w:rsid w:val="2B8146EC"/>
    <w:rsid w:val="2B863D63"/>
    <w:rsid w:val="2B9842C7"/>
    <w:rsid w:val="2BB16278"/>
    <w:rsid w:val="2BBC4675"/>
    <w:rsid w:val="2BCF1C43"/>
    <w:rsid w:val="2BDB451B"/>
    <w:rsid w:val="2BF963DA"/>
    <w:rsid w:val="2C0B7E86"/>
    <w:rsid w:val="2C6C1282"/>
    <w:rsid w:val="2C6F370D"/>
    <w:rsid w:val="2C7E3200"/>
    <w:rsid w:val="2CAE4837"/>
    <w:rsid w:val="2CB86203"/>
    <w:rsid w:val="2CCE1726"/>
    <w:rsid w:val="2CCF12D6"/>
    <w:rsid w:val="2CCF5348"/>
    <w:rsid w:val="2CDC4CDB"/>
    <w:rsid w:val="2CEB4EE3"/>
    <w:rsid w:val="2CFE1D37"/>
    <w:rsid w:val="2D0745FA"/>
    <w:rsid w:val="2D210E25"/>
    <w:rsid w:val="2D231864"/>
    <w:rsid w:val="2D295D82"/>
    <w:rsid w:val="2D3817DB"/>
    <w:rsid w:val="2D4A74C0"/>
    <w:rsid w:val="2D6257EC"/>
    <w:rsid w:val="2DD34AD9"/>
    <w:rsid w:val="2DDF4AC3"/>
    <w:rsid w:val="2DFB2AFE"/>
    <w:rsid w:val="2E0925BF"/>
    <w:rsid w:val="2E242C72"/>
    <w:rsid w:val="2E2E0ADF"/>
    <w:rsid w:val="2E375E3E"/>
    <w:rsid w:val="2E39216F"/>
    <w:rsid w:val="2E766897"/>
    <w:rsid w:val="2E9200ED"/>
    <w:rsid w:val="2E9C6DA7"/>
    <w:rsid w:val="2ED52D50"/>
    <w:rsid w:val="2EDF460B"/>
    <w:rsid w:val="2EEB385B"/>
    <w:rsid w:val="2EF1593A"/>
    <w:rsid w:val="2F0F053D"/>
    <w:rsid w:val="2F162BA7"/>
    <w:rsid w:val="2F480470"/>
    <w:rsid w:val="2F72030E"/>
    <w:rsid w:val="2F8200C6"/>
    <w:rsid w:val="2FAA0354"/>
    <w:rsid w:val="2FB12825"/>
    <w:rsid w:val="3003387F"/>
    <w:rsid w:val="300B1AE4"/>
    <w:rsid w:val="301131AB"/>
    <w:rsid w:val="302641CA"/>
    <w:rsid w:val="302D0328"/>
    <w:rsid w:val="303B1C44"/>
    <w:rsid w:val="3055724C"/>
    <w:rsid w:val="305D015F"/>
    <w:rsid w:val="30745DA1"/>
    <w:rsid w:val="30806124"/>
    <w:rsid w:val="30824A72"/>
    <w:rsid w:val="30856264"/>
    <w:rsid w:val="308C4B08"/>
    <w:rsid w:val="30A000F5"/>
    <w:rsid w:val="30AB6F28"/>
    <w:rsid w:val="30B02582"/>
    <w:rsid w:val="30BB320E"/>
    <w:rsid w:val="30BE4B0D"/>
    <w:rsid w:val="30E10B9D"/>
    <w:rsid w:val="310745B5"/>
    <w:rsid w:val="31397A0E"/>
    <w:rsid w:val="31484722"/>
    <w:rsid w:val="314A409B"/>
    <w:rsid w:val="31553B61"/>
    <w:rsid w:val="31651BA1"/>
    <w:rsid w:val="31716123"/>
    <w:rsid w:val="31B20428"/>
    <w:rsid w:val="31DD2D04"/>
    <w:rsid w:val="31E1518C"/>
    <w:rsid w:val="31E62952"/>
    <w:rsid w:val="32045A6F"/>
    <w:rsid w:val="320F7895"/>
    <w:rsid w:val="32227C4E"/>
    <w:rsid w:val="32243257"/>
    <w:rsid w:val="324204CE"/>
    <w:rsid w:val="324B5C0F"/>
    <w:rsid w:val="324B5E56"/>
    <w:rsid w:val="32581962"/>
    <w:rsid w:val="325F6CCD"/>
    <w:rsid w:val="326C5A88"/>
    <w:rsid w:val="328E00C9"/>
    <w:rsid w:val="3297245A"/>
    <w:rsid w:val="32A508BD"/>
    <w:rsid w:val="32A645C2"/>
    <w:rsid w:val="32AE5C7F"/>
    <w:rsid w:val="32AF396F"/>
    <w:rsid w:val="32D06EBE"/>
    <w:rsid w:val="334C212D"/>
    <w:rsid w:val="33626FE7"/>
    <w:rsid w:val="33684F36"/>
    <w:rsid w:val="3377413D"/>
    <w:rsid w:val="337A3D78"/>
    <w:rsid w:val="339F482B"/>
    <w:rsid w:val="33AB47E1"/>
    <w:rsid w:val="33B438CF"/>
    <w:rsid w:val="34280FB2"/>
    <w:rsid w:val="343C286A"/>
    <w:rsid w:val="34421CFE"/>
    <w:rsid w:val="34902F7E"/>
    <w:rsid w:val="34AA0725"/>
    <w:rsid w:val="34B07FD9"/>
    <w:rsid w:val="34B225E3"/>
    <w:rsid w:val="34CB4B93"/>
    <w:rsid w:val="35200CD5"/>
    <w:rsid w:val="354078CA"/>
    <w:rsid w:val="356B4789"/>
    <w:rsid w:val="357351A7"/>
    <w:rsid w:val="35A95057"/>
    <w:rsid w:val="35AE2BBD"/>
    <w:rsid w:val="35D138CF"/>
    <w:rsid w:val="35DC7FCC"/>
    <w:rsid w:val="35FB683B"/>
    <w:rsid w:val="3609171C"/>
    <w:rsid w:val="360C3FAA"/>
    <w:rsid w:val="36164CE8"/>
    <w:rsid w:val="361A4561"/>
    <w:rsid w:val="362507E4"/>
    <w:rsid w:val="36291FB5"/>
    <w:rsid w:val="365746B1"/>
    <w:rsid w:val="36613503"/>
    <w:rsid w:val="367809D6"/>
    <w:rsid w:val="3697756F"/>
    <w:rsid w:val="36AA4CF1"/>
    <w:rsid w:val="36B41F11"/>
    <w:rsid w:val="36CC42C2"/>
    <w:rsid w:val="36FE0E22"/>
    <w:rsid w:val="37301974"/>
    <w:rsid w:val="3733090E"/>
    <w:rsid w:val="373C3375"/>
    <w:rsid w:val="374E7FC7"/>
    <w:rsid w:val="3751735A"/>
    <w:rsid w:val="376001F7"/>
    <w:rsid w:val="377C28E9"/>
    <w:rsid w:val="377F43D7"/>
    <w:rsid w:val="378B1F07"/>
    <w:rsid w:val="37DE51B7"/>
    <w:rsid w:val="37E942E6"/>
    <w:rsid w:val="37F0281C"/>
    <w:rsid w:val="3803141D"/>
    <w:rsid w:val="38083125"/>
    <w:rsid w:val="38207B0A"/>
    <w:rsid w:val="38413E4F"/>
    <w:rsid w:val="38555C0B"/>
    <w:rsid w:val="38571B5E"/>
    <w:rsid w:val="385819B9"/>
    <w:rsid w:val="386678DE"/>
    <w:rsid w:val="386A13DF"/>
    <w:rsid w:val="38811B06"/>
    <w:rsid w:val="388D2F2A"/>
    <w:rsid w:val="389A021F"/>
    <w:rsid w:val="38BD1AD3"/>
    <w:rsid w:val="38D01C56"/>
    <w:rsid w:val="38D5339A"/>
    <w:rsid w:val="39652DA3"/>
    <w:rsid w:val="397A3EB7"/>
    <w:rsid w:val="39AC2371"/>
    <w:rsid w:val="39D42DCC"/>
    <w:rsid w:val="3A23084E"/>
    <w:rsid w:val="3A6F4812"/>
    <w:rsid w:val="3AA57D8C"/>
    <w:rsid w:val="3AB725E2"/>
    <w:rsid w:val="3AE33538"/>
    <w:rsid w:val="3AF5219D"/>
    <w:rsid w:val="3AF606FF"/>
    <w:rsid w:val="3B263BC9"/>
    <w:rsid w:val="3B7B52CD"/>
    <w:rsid w:val="3B8261F4"/>
    <w:rsid w:val="3B8A14A5"/>
    <w:rsid w:val="3B9B03AF"/>
    <w:rsid w:val="3BBC1942"/>
    <w:rsid w:val="3BE30661"/>
    <w:rsid w:val="3BEB6FF6"/>
    <w:rsid w:val="3BF63CB5"/>
    <w:rsid w:val="3BF859D3"/>
    <w:rsid w:val="3C073BFD"/>
    <w:rsid w:val="3C334736"/>
    <w:rsid w:val="3C382D2A"/>
    <w:rsid w:val="3C386E13"/>
    <w:rsid w:val="3C3B083E"/>
    <w:rsid w:val="3C49012E"/>
    <w:rsid w:val="3C4B1C5F"/>
    <w:rsid w:val="3C564823"/>
    <w:rsid w:val="3C7054A5"/>
    <w:rsid w:val="3C9871C4"/>
    <w:rsid w:val="3CA306CE"/>
    <w:rsid w:val="3CA91149"/>
    <w:rsid w:val="3CAD79D4"/>
    <w:rsid w:val="3CB342ED"/>
    <w:rsid w:val="3CB44857"/>
    <w:rsid w:val="3CD668D7"/>
    <w:rsid w:val="3CD87AF5"/>
    <w:rsid w:val="3CF30DED"/>
    <w:rsid w:val="3D6B6495"/>
    <w:rsid w:val="3D921871"/>
    <w:rsid w:val="3DA339E3"/>
    <w:rsid w:val="3DBE687D"/>
    <w:rsid w:val="3DD8220A"/>
    <w:rsid w:val="3DE500C0"/>
    <w:rsid w:val="3E13550C"/>
    <w:rsid w:val="3E2A63D1"/>
    <w:rsid w:val="3E552E87"/>
    <w:rsid w:val="3E633B29"/>
    <w:rsid w:val="3EA326B9"/>
    <w:rsid w:val="3EA870B3"/>
    <w:rsid w:val="3EB42221"/>
    <w:rsid w:val="3EBA1C08"/>
    <w:rsid w:val="3EC24028"/>
    <w:rsid w:val="3EC527A9"/>
    <w:rsid w:val="3EF46878"/>
    <w:rsid w:val="3EFA13D1"/>
    <w:rsid w:val="3F170723"/>
    <w:rsid w:val="3F207E48"/>
    <w:rsid w:val="3F253210"/>
    <w:rsid w:val="3F31757D"/>
    <w:rsid w:val="3F376864"/>
    <w:rsid w:val="3F3917D6"/>
    <w:rsid w:val="3F3C571F"/>
    <w:rsid w:val="3F4052BF"/>
    <w:rsid w:val="3F45063D"/>
    <w:rsid w:val="3F6A65CB"/>
    <w:rsid w:val="3FB96C66"/>
    <w:rsid w:val="3FFF040F"/>
    <w:rsid w:val="4011322A"/>
    <w:rsid w:val="403607C0"/>
    <w:rsid w:val="404A04EC"/>
    <w:rsid w:val="4051555F"/>
    <w:rsid w:val="40540B26"/>
    <w:rsid w:val="405B3A44"/>
    <w:rsid w:val="40660123"/>
    <w:rsid w:val="406E0BB4"/>
    <w:rsid w:val="40DA02FE"/>
    <w:rsid w:val="40F960C2"/>
    <w:rsid w:val="41077CC7"/>
    <w:rsid w:val="4132194D"/>
    <w:rsid w:val="413C5641"/>
    <w:rsid w:val="41400B81"/>
    <w:rsid w:val="41504EE5"/>
    <w:rsid w:val="41516112"/>
    <w:rsid w:val="4152522A"/>
    <w:rsid w:val="41550A4A"/>
    <w:rsid w:val="41A44D32"/>
    <w:rsid w:val="41C2594C"/>
    <w:rsid w:val="41CF57ED"/>
    <w:rsid w:val="41F15D28"/>
    <w:rsid w:val="41F639AF"/>
    <w:rsid w:val="41FA72C7"/>
    <w:rsid w:val="42237AE7"/>
    <w:rsid w:val="4286790A"/>
    <w:rsid w:val="429D1212"/>
    <w:rsid w:val="42A05CE8"/>
    <w:rsid w:val="42BD2ADD"/>
    <w:rsid w:val="42EA4C25"/>
    <w:rsid w:val="43017EA1"/>
    <w:rsid w:val="43036EDB"/>
    <w:rsid w:val="432F1139"/>
    <w:rsid w:val="43332C57"/>
    <w:rsid w:val="43634ACC"/>
    <w:rsid w:val="438015C4"/>
    <w:rsid w:val="438A68F2"/>
    <w:rsid w:val="438B4A2B"/>
    <w:rsid w:val="43AA3FA5"/>
    <w:rsid w:val="43BB7449"/>
    <w:rsid w:val="43CA1E2B"/>
    <w:rsid w:val="43F35BDB"/>
    <w:rsid w:val="43F86E9E"/>
    <w:rsid w:val="43FC7871"/>
    <w:rsid w:val="440E7A6A"/>
    <w:rsid w:val="441F3445"/>
    <w:rsid w:val="44A52D54"/>
    <w:rsid w:val="44B54DEC"/>
    <w:rsid w:val="44C71A3D"/>
    <w:rsid w:val="44E64495"/>
    <w:rsid w:val="44EB5879"/>
    <w:rsid w:val="44F70F51"/>
    <w:rsid w:val="44FB3B0A"/>
    <w:rsid w:val="4513411B"/>
    <w:rsid w:val="451C72AE"/>
    <w:rsid w:val="452753FD"/>
    <w:rsid w:val="45332281"/>
    <w:rsid w:val="4536245C"/>
    <w:rsid w:val="454B0D26"/>
    <w:rsid w:val="456A13F8"/>
    <w:rsid w:val="457161B5"/>
    <w:rsid w:val="45802D6A"/>
    <w:rsid w:val="45C331DC"/>
    <w:rsid w:val="45CD6FE9"/>
    <w:rsid w:val="45F0200C"/>
    <w:rsid w:val="45F937D7"/>
    <w:rsid w:val="463A0A34"/>
    <w:rsid w:val="464B5637"/>
    <w:rsid w:val="46510A38"/>
    <w:rsid w:val="46981A9B"/>
    <w:rsid w:val="46B80E17"/>
    <w:rsid w:val="46C638D5"/>
    <w:rsid w:val="46C77466"/>
    <w:rsid w:val="46F0291B"/>
    <w:rsid w:val="472A4804"/>
    <w:rsid w:val="47383727"/>
    <w:rsid w:val="47460D2B"/>
    <w:rsid w:val="474652A7"/>
    <w:rsid w:val="474B0E66"/>
    <w:rsid w:val="47841462"/>
    <w:rsid w:val="47880165"/>
    <w:rsid w:val="4794270A"/>
    <w:rsid w:val="47E97617"/>
    <w:rsid w:val="47ED6979"/>
    <w:rsid w:val="48132C9E"/>
    <w:rsid w:val="481852A4"/>
    <w:rsid w:val="4826035A"/>
    <w:rsid w:val="48342B77"/>
    <w:rsid w:val="483807E7"/>
    <w:rsid w:val="483C7D15"/>
    <w:rsid w:val="484641E3"/>
    <w:rsid w:val="485767B2"/>
    <w:rsid w:val="487669CE"/>
    <w:rsid w:val="487D66B7"/>
    <w:rsid w:val="489F51AB"/>
    <w:rsid w:val="48AE50B1"/>
    <w:rsid w:val="48D95FB6"/>
    <w:rsid w:val="48EE6DEF"/>
    <w:rsid w:val="48F45098"/>
    <w:rsid w:val="48FE032C"/>
    <w:rsid w:val="498C53B3"/>
    <w:rsid w:val="49A46599"/>
    <w:rsid w:val="49FC2A97"/>
    <w:rsid w:val="49FF75AD"/>
    <w:rsid w:val="4A184C95"/>
    <w:rsid w:val="4A6307F3"/>
    <w:rsid w:val="4A6C1882"/>
    <w:rsid w:val="4A8F4183"/>
    <w:rsid w:val="4AAE7A1D"/>
    <w:rsid w:val="4AB85A8A"/>
    <w:rsid w:val="4ACE5883"/>
    <w:rsid w:val="4AF0020A"/>
    <w:rsid w:val="4AF37BEB"/>
    <w:rsid w:val="4B070BAC"/>
    <w:rsid w:val="4B353E44"/>
    <w:rsid w:val="4B3D031D"/>
    <w:rsid w:val="4B4D346F"/>
    <w:rsid w:val="4B686C5F"/>
    <w:rsid w:val="4B694C21"/>
    <w:rsid w:val="4BBE0011"/>
    <w:rsid w:val="4BD04E73"/>
    <w:rsid w:val="4BD33DF2"/>
    <w:rsid w:val="4BF711EB"/>
    <w:rsid w:val="4BFB1AC9"/>
    <w:rsid w:val="4C211051"/>
    <w:rsid w:val="4C283254"/>
    <w:rsid w:val="4C2D3BD6"/>
    <w:rsid w:val="4C3228B2"/>
    <w:rsid w:val="4C3A25EE"/>
    <w:rsid w:val="4C4006B7"/>
    <w:rsid w:val="4C4F3B28"/>
    <w:rsid w:val="4C6838A7"/>
    <w:rsid w:val="4C6D6D1C"/>
    <w:rsid w:val="4CA37D04"/>
    <w:rsid w:val="4CB3172E"/>
    <w:rsid w:val="4CB43B5E"/>
    <w:rsid w:val="4CBB582D"/>
    <w:rsid w:val="4CBF5D24"/>
    <w:rsid w:val="4CF907A7"/>
    <w:rsid w:val="4CF927D7"/>
    <w:rsid w:val="4D0E01B0"/>
    <w:rsid w:val="4D204C34"/>
    <w:rsid w:val="4D416B5A"/>
    <w:rsid w:val="4D592CF4"/>
    <w:rsid w:val="4D5F6D05"/>
    <w:rsid w:val="4D654D0F"/>
    <w:rsid w:val="4D6A39E3"/>
    <w:rsid w:val="4D8763A3"/>
    <w:rsid w:val="4DC17B00"/>
    <w:rsid w:val="4DD35B7A"/>
    <w:rsid w:val="4DD734A8"/>
    <w:rsid w:val="4E262945"/>
    <w:rsid w:val="4E3032E3"/>
    <w:rsid w:val="4E6830AB"/>
    <w:rsid w:val="4E811B53"/>
    <w:rsid w:val="4E8237D2"/>
    <w:rsid w:val="4EA545E1"/>
    <w:rsid w:val="4EAA5004"/>
    <w:rsid w:val="4EC44733"/>
    <w:rsid w:val="4ED4035B"/>
    <w:rsid w:val="4EE22CC7"/>
    <w:rsid w:val="4F037899"/>
    <w:rsid w:val="4F1B6090"/>
    <w:rsid w:val="4F3469F3"/>
    <w:rsid w:val="4F3806D7"/>
    <w:rsid w:val="4F3D339C"/>
    <w:rsid w:val="4F466D2B"/>
    <w:rsid w:val="4F4F6FDF"/>
    <w:rsid w:val="4F543FFB"/>
    <w:rsid w:val="4F696AFA"/>
    <w:rsid w:val="4FC84C02"/>
    <w:rsid w:val="4FEE2A44"/>
    <w:rsid w:val="4FEF71F9"/>
    <w:rsid w:val="501202F2"/>
    <w:rsid w:val="501B4F28"/>
    <w:rsid w:val="50557E15"/>
    <w:rsid w:val="50917D77"/>
    <w:rsid w:val="50992D33"/>
    <w:rsid w:val="50A23952"/>
    <w:rsid w:val="50AF6EB7"/>
    <w:rsid w:val="50BF6936"/>
    <w:rsid w:val="50E65791"/>
    <w:rsid w:val="50F45A29"/>
    <w:rsid w:val="511049C7"/>
    <w:rsid w:val="51295A4C"/>
    <w:rsid w:val="5165316C"/>
    <w:rsid w:val="516E7962"/>
    <w:rsid w:val="51714F75"/>
    <w:rsid w:val="51A533F6"/>
    <w:rsid w:val="51B569AD"/>
    <w:rsid w:val="51E4187C"/>
    <w:rsid w:val="51F95934"/>
    <w:rsid w:val="524A23B7"/>
    <w:rsid w:val="524F2ECD"/>
    <w:rsid w:val="525015BD"/>
    <w:rsid w:val="525D3B4A"/>
    <w:rsid w:val="52683FB4"/>
    <w:rsid w:val="527965E4"/>
    <w:rsid w:val="527C41BF"/>
    <w:rsid w:val="52DF64C3"/>
    <w:rsid w:val="52F2211C"/>
    <w:rsid w:val="53301E44"/>
    <w:rsid w:val="53386391"/>
    <w:rsid w:val="533B345F"/>
    <w:rsid w:val="534E1E12"/>
    <w:rsid w:val="535372A6"/>
    <w:rsid w:val="536C127A"/>
    <w:rsid w:val="536D7C0A"/>
    <w:rsid w:val="53835579"/>
    <w:rsid w:val="53B929D7"/>
    <w:rsid w:val="53DD6EF6"/>
    <w:rsid w:val="53EF2554"/>
    <w:rsid w:val="540812DF"/>
    <w:rsid w:val="540D3A6F"/>
    <w:rsid w:val="541B187C"/>
    <w:rsid w:val="5479271D"/>
    <w:rsid w:val="54820734"/>
    <w:rsid w:val="54901AF5"/>
    <w:rsid w:val="54A33186"/>
    <w:rsid w:val="54C765E1"/>
    <w:rsid w:val="54CA72EA"/>
    <w:rsid w:val="54E94D68"/>
    <w:rsid w:val="553811EA"/>
    <w:rsid w:val="55415D6E"/>
    <w:rsid w:val="554E3311"/>
    <w:rsid w:val="55623017"/>
    <w:rsid w:val="55666D6E"/>
    <w:rsid w:val="5592275E"/>
    <w:rsid w:val="55947815"/>
    <w:rsid w:val="55F138CF"/>
    <w:rsid w:val="55F46F77"/>
    <w:rsid w:val="561A1ACF"/>
    <w:rsid w:val="56405FBC"/>
    <w:rsid w:val="56460398"/>
    <w:rsid w:val="56575425"/>
    <w:rsid w:val="5658759A"/>
    <w:rsid w:val="566070CA"/>
    <w:rsid w:val="56662B4B"/>
    <w:rsid w:val="56B9355A"/>
    <w:rsid w:val="56BC4C71"/>
    <w:rsid w:val="57083367"/>
    <w:rsid w:val="57242DC3"/>
    <w:rsid w:val="574249AC"/>
    <w:rsid w:val="57806298"/>
    <w:rsid w:val="57A93F00"/>
    <w:rsid w:val="57DF4677"/>
    <w:rsid w:val="57E440E6"/>
    <w:rsid w:val="5809548F"/>
    <w:rsid w:val="5822788E"/>
    <w:rsid w:val="582329F8"/>
    <w:rsid w:val="582D26E5"/>
    <w:rsid w:val="582F589D"/>
    <w:rsid w:val="58625F0C"/>
    <w:rsid w:val="586D697D"/>
    <w:rsid w:val="586E0173"/>
    <w:rsid w:val="58803566"/>
    <w:rsid w:val="58873A7C"/>
    <w:rsid w:val="588A3CF4"/>
    <w:rsid w:val="589A6E1C"/>
    <w:rsid w:val="58A550DC"/>
    <w:rsid w:val="58AC4645"/>
    <w:rsid w:val="58AD06FA"/>
    <w:rsid w:val="58B059F9"/>
    <w:rsid w:val="58BD28DE"/>
    <w:rsid w:val="58C63661"/>
    <w:rsid w:val="58C75A48"/>
    <w:rsid w:val="58D04373"/>
    <w:rsid w:val="58D22C73"/>
    <w:rsid w:val="58D5220A"/>
    <w:rsid w:val="58FD7D40"/>
    <w:rsid w:val="59183146"/>
    <w:rsid w:val="592477B9"/>
    <w:rsid w:val="596F425D"/>
    <w:rsid w:val="5977224D"/>
    <w:rsid w:val="598840E7"/>
    <w:rsid w:val="59AB0DF2"/>
    <w:rsid w:val="59AE28ED"/>
    <w:rsid w:val="59E25B75"/>
    <w:rsid w:val="59F0476D"/>
    <w:rsid w:val="5A2415BF"/>
    <w:rsid w:val="5A2D725F"/>
    <w:rsid w:val="5A4B6358"/>
    <w:rsid w:val="5A55383A"/>
    <w:rsid w:val="5A6728F7"/>
    <w:rsid w:val="5A842632"/>
    <w:rsid w:val="5AA96D46"/>
    <w:rsid w:val="5AC40CA0"/>
    <w:rsid w:val="5AC55F97"/>
    <w:rsid w:val="5ACA5E57"/>
    <w:rsid w:val="5AD00C42"/>
    <w:rsid w:val="5AE13258"/>
    <w:rsid w:val="5AEF704B"/>
    <w:rsid w:val="5AF4677B"/>
    <w:rsid w:val="5B3F558C"/>
    <w:rsid w:val="5B654D5B"/>
    <w:rsid w:val="5B6C7F08"/>
    <w:rsid w:val="5B6D7C81"/>
    <w:rsid w:val="5B93237A"/>
    <w:rsid w:val="5BC278A6"/>
    <w:rsid w:val="5BF94B1A"/>
    <w:rsid w:val="5BFD736A"/>
    <w:rsid w:val="5C571A74"/>
    <w:rsid w:val="5C6A6DAC"/>
    <w:rsid w:val="5C9D038B"/>
    <w:rsid w:val="5CB156CF"/>
    <w:rsid w:val="5CC126AB"/>
    <w:rsid w:val="5CC27009"/>
    <w:rsid w:val="5CC75643"/>
    <w:rsid w:val="5CD204BA"/>
    <w:rsid w:val="5CFC1629"/>
    <w:rsid w:val="5CFD580A"/>
    <w:rsid w:val="5D405942"/>
    <w:rsid w:val="5D441EDD"/>
    <w:rsid w:val="5D5B4F1E"/>
    <w:rsid w:val="5D7D5097"/>
    <w:rsid w:val="5D8B0E83"/>
    <w:rsid w:val="5D8F7640"/>
    <w:rsid w:val="5DBB273F"/>
    <w:rsid w:val="5DD16434"/>
    <w:rsid w:val="5DF115A9"/>
    <w:rsid w:val="5E0C7EBE"/>
    <w:rsid w:val="5E150370"/>
    <w:rsid w:val="5E1A7EAA"/>
    <w:rsid w:val="5E2C09E9"/>
    <w:rsid w:val="5E342028"/>
    <w:rsid w:val="5E3D4A1F"/>
    <w:rsid w:val="5E7E422D"/>
    <w:rsid w:val="5E806114"/>
    <w:rsid w:val="5E8769F3"/>
    <w:rsid w:val="5E924ADC"/>
    <w:rsid w:val="5E975541"/>
    <w:rsid w:val="5E9C5517"/>
    <w:rsid w:val="5EBD5B2B"/>
    <w:rsid w:val="5EBF2D30"/>
    <w:rsid w:val="5ECF6C27"/>
    <w:rsid w:val="5F095BB7"/>
    <w:rsid w:val="5F164E19"/>
    <w:rsid w:val="5F167CC2"/>
    <w:rsid w:val="5F3E4CEE"/>
    <w:rsid w:val="5F4426AB"/>
    <w:rsid w:val="5F682BED"/>
    <w:rsid w:val="5F9F5E32"/>
    <w:rsid w:val="5FFC2950"/>
    <w:rsid w:val="60112A21"/>
    <w:rsid w:val="60124C50"/>
    <w:rsid w:val="60292D4B"/>
    <w:rsid w:val="603310C1"/>
    <w:rsid w:val="60407F55"/>
    <w:rsid w:val="607C3B07"/>
    <w:rsid w:val="60960603"/>
    <w:rsid w:val="60A96964"/>
    <w:rsid w:val="60C464AA"/>
    <w:rsid w:val="610A200F"/>
    <w:rsid w:val="611436C0"/>
    <w:rsid w:val="61394BD5"/>
    <w:rsid w:val="613D7B67"/>
    <w:rsid w:val="61552376"/>
    <w:rsid w:val="615711DD"/>
    <w:rsid w:val="61573571"/>
    <w:rsid w:val="615C5510"/>
    <w:rsid w:val="6177471C"/>
    <w:rsid w:val="6179674C"/>
    <w:rsid w:val="61873285"/>
    <w:rsid w:val="61A003CB"/>
    <w:rsid w:val="61A57A4B"/>
    <w:rsid w:val="61AC18AD"/>
    <w:rsid w:val="61B60340"/>
    <w:rsid w:val="61CC0794"/>
    <w:rsid w:val="61F7116C"/>
    <w:rsid w:val="620311EE"/>
    <w:rsid w:val="622C66D8"/>
    <w:rsid w:val="623C5C91"/>
    <w:rsid w:val="623F25B5"/>
    <w:rsid w:val="6248711B"/>
    <w:rsid w:val="62595A92"/>
    <w:rsid w:val="62776F87"/>
    <w:rsid w:val="62AA0BAC"/>
    <w:rsid w:val="62D1249C"/>
    <w:rsid w:val="62E4229C"/>
    <w:rsid w:val="62E55018"/>
    <w:rsid w:val="62EC183D"/>
    <w:rsid w:val="62ED0EB8"/>
    <w:rsid w:val="62F3625E"/>
    <w:rsid w:val="63011847"/>
    <w:rsid w:val="63040874"/>
    <w:rsid w:val="630D542C"/>
    <w:rsid w:val="630D6933"/>
    <w:rsid w:val="63203943"/>
    <w:rsid w:val="632E6BEA"/>
    <w:rsid w:val="633D5AF8"/>
    <w:rsid w:val="634165FF"/>
    <w:rsid w:val="63591026"/>
    <w:rsid w:val="635A421E"/>
    <w:rsid w:val="636B7316"/>
    <w:rsid w:val="63AA0850"/>
    <w:rsid w:val="63B17DDC"/>
    <w:rsid w:val="63B65C4B"/>
    <w:rsid w:val="63CA1A2B"/>
    <w:rsid w:val="63D200DF"/>
    <w:rsid w:val="63F66932"/>
    <w:rsid w:val="640814AB"/>
    <w:rsid w:val="6419701E"/>
    <w:rsid w:val="64257FE6"/>
    <w:rsid w:val="64782029"/>
    <w:rsid w:val="64914951"/>
    <w:rsid w:val="64A67D3B"/>
    <w:rsid w:val="64E07185"/>
    <w:rsid w:val="65482A39"/>
    <w:rsid w:val="657C7C9C"/>
    <w:rsid w:val="659957EF"/>
    <w:rsid w:val="659D634F"/>
    <w:rsid w:val="659E1D09"/>
    <w:rsid w:val="65AD7EC3"/>
    <w:rsid w:val="65C51E86"/>
    <w:rsid w:val="65CE180F"/>
    <w:rsid w:val="65D128D6"/>
    <w:rsid w:val="65FC54C0"/>
    <w:rsid w:val="6604204D"/>
    <w:rsid w:val="661160C3"/>
    <w:rsid w:val="661A7DD9"/>
    <w:rsid w:val="66401471"/>
    <w:rsid w:val="664D33BD"/>
    <w:rsid w:val="6651356B"/>
    <w:rsid w:val="66526F43"/>
    <w:rsid w:val="6678603E"/>
    <w:rsid w:val="668159DD"/>
    <w:rsid w:val="66A305D5"/>
    <w:rsid w:val="66A3558D"/>
    <w:rsid w:val="66EC0A64"/>
    <w:rsid w:val="6712113A"/>
    <w:rsid w:val="672933A5"/>
    <w:rsid w:val="673460C8"/>
    <w:rsid w:val="67482A9A"/>
    <w:rsid w:val="674B6C02"/>
    <w:rsid w:val="6761733C"/>
    <w:rsid w:val="676864CD"/>
    <w:rsid w:val="677F3870"/>
    <w:rsid w:val="679F5BBC"/>
    <w:rsid w:val="67AF2B5C"/>
    <w:rsid w:val="67B746E8"/>
    <w:rsid w:val="67DC3CDE"/>
    <w:rsid w:val="681F54F9"/>
    <w:rsid w:val="682263CB"/>
    <w:rsid w:val="683E5C68"/>
    <w:rsid w:val="684915B9"/>
    <w:rsid w:val="68A24D72"/>
    <w:rsid w:val="68AA315D"/>
    <w:rsid w:val="68BB50FE"/>
    <w:rsid w:val="68D142A6"/>
    <w:rsid w:val="68D36FD6"/>
    <w:rsid w:val="68DB3760"/>
    <w:rsid w:val="6901118E"/>
    <w:rsid w:val="693A043C"/>
    <w:rsid w:val="693C10B1"/>
    <w:rsid w:val="694B3A1B"/>
    <w:rsid w:val="69666A10"/>
    <w:rsid w:val="6996349F"/>
    <w:rsid w:val="69A2440C"/>
    <w:rsid w:val="69AB22ED"/>
    <w:rsid w:val="69E462C5"/>
    <w:rsid w:val="6A0D6B98"/>
    <w:rsid w:val="6A152F5D"/>
    <w:rsid w:val="6A1B2C0F"/>
    <w:rsid w:val="6A286F66"/>
    <w:rsid w:val="6A3B2A9E"/>
    <w:rsid w:val="6A491A1D"/>
    <w:rsid w:val="6A5555EE"/>
    <w:rsid w:val="6A5D5E5C"/>
    <w:rsid w:val="6A943494"/>
    <w:rsid w:val="6AA85348"/>
    <w:rsid w:val="6AAA0B66"/>
    <w:rsid w:val="6AC21987"/>
    <w:rsid w:val="6AC4161F"/>
    <w:rsid w:val="6AD6008A"/>
    <w:rsid w:val="6AF762D4"/>
    <w:rsid w:val="6B0F2CC5"/>
    <w:rsid w:val="6B2A1810"/>
    <w:rsid w:val="6B2A38E4"/>
    <w:rsid w:val="6B2C25AA"/>
    <w:rsid w:val="6B432F8A"/>
    <w:rsid w:val="6B765F54"/>
    <w:rsid w:val="6BA915BA"/>
    <w:rsid w:val="6BB62758"/>
    <w:rsid w:val="6BC6706D"/>
    <w:rsid w:val="6C0F1D15"/>
    <w:rsid w:val="6C2B413A"/>
    <w:rsid w:val="6C2B57A3"/>
    <w:rsid w:val="6C4D2B58"/>
    <w:rsid w:val="6C6D2153"/>
    <w:rsid w:val="6C7D4E22"/>
    <w:rsid w:val="6C8611EA"/>
    <w:rsid w:val="6C9033CD"/>
    <w:rsid w:val="6CB440B2"/>
    <w:rsid w:val="6CBC2D03"/>
    <w:rsid w:val="6CDA76E7"/>
    <w:rsid w:val="6CE046E2"/>
    <w:rsid w:val="6D040631"/>
    <w:rsid w:val="6D04116D"/>
    <w:rsid w:val="6D267FE2"/>
    <w:rsid w:val="6D2738CE"/>
    <w:rsid w:val="6D274DD2"/>
    <w:rsid w:val="6D34722A"/>
    <w:rsid w:val="6D3870AD"/>
    <w:rsid w:val="6D620367"/>
    <w:rsid w:val="6D9F43B9"/>
    <w:rsid w:val="6DA53050"/>
    <w:rsid w:val="6DD44239"/>
    <w:rsid w:val="6DDF7C67"/>
    <w:rsid w:val="6DE15A50"/>
    <w:rsid w:val="6DF62671"/>
    <w:rsid w:val="6E036E0D"/>
    <w:rsid w:val="6E0E4C6A"/>
    <w:rsid w:val="6E1F4585"/>
    <w:rsid w:val="6E5E3003"/>
    <w:rsid w:val="6E6A59F3"/>
    <w:rsid w:val="6E7D0A7D"/>
    <w:rsid w:val="6EA227EA"/>
    <w:rsid w:val="6EBB6F47"/>
    <w:rsid w:val="6ED556FE"/>
    <w:rsid w:val="6F227EBD"/>
    <w:rsid w:val="6F2F0685"/>
    <w:rsid w:val="6F337072"/>
    <w:rsid w:val="6F46589C"/>
    <w:rsid w:val="6F9A7D73"/>
    <w:rsid w:val="6FCF1A0A"/>
    <w:rsid w:val="700C3D26"/>
    <w:rsid w:val="702C614E"/>
    <w:rsid w:val="704C69FC"/>
    <w:rsid w:val="70932A48"/>
    <w:rsid w:val="70982403"/>
    <w:rsid w:val="709D5435"/>
    <w:rsid w:val="70AB7049"/>
    <w:rsid w:val="70B37F71"/>
    <w:rsid w:val="70C86421"/>
    <w:rsid w:val="70E9167B"/>
    <w:rsid w:val="711C1FED"/>
    <w:rsid w:val="715D266E"/>
    <w:rsid w:val="716746EE"/>
    <w:rsid w:val="71785ABD"/>
    <w:rsid w:val="717956DC"/>
    <w:rsid w:val="71857328"/>
    <w:rsid w:val="71B07818"/>
    <w:rsid w:val="71C62AE8"/>
    <w:rsid w:val="71D80CBA"/>
    <w:rsid w:val="71E92642"/>
    <w:rsid w:val="71F4261F"/>
    <w:rsid w:val="725C2A40"/>
    <w:rsid w:val="727B6899"/>
    <w:rsid w:val="72AD72A4"/>
    <w:rsid w:val="72BB1748"/>
    <w:rsid w:val="72FF24CB"/>
    <w:rsid w:val="73040083"/>
    <w:rsid w:val="73481359"/>
    <w:rsid w:val="734A6525"/>
    <w:rsid w:val="73546671"/>
    <w:rsid w:val="735A636B"/>
    <w:rsid w:val="73934A1F"/>
    <w:rsid w:val="73A02464"/>
    <w:rsid w:val="73BE6174"/>
    <w:rsid w:val="73BF01D2"/>
    <w:rsid w:val="73C470CC"/>
    <w:rsid w:val="73FE0BF7"/>
    <w:rsid w:val="743E5CA2"/>
    <w:rsid w:val="74415023"/>
    <w:rsid w:val="74457313"/>
    <w:rsid w:val="74510192"/>
    <w:rsid w:val="745B3A55"/>
    <w:rsid w:val="74621790"/>
    <w:rsid w:val="74753403"/>
    <w:rsid w:val="748656B2"/>
    <w:rsid w:val="7493557D"/>
    <w:rsid w:val="74D86FB7"/>
    <w:rsid w:val="74E52B78"/>
    <w:rsid w:val="74F0131C"/>
    <w:rsid w:val="74F87733"/>
    <w:rsid w:val="75115393"/>
    <w:rsid w:val="751A5864"/>
    <w:rsid w:val="75582652"/>
    <w:rsid w:val="7565667B"/>
    <w:rsid w:val="756D71A8"/>
    <w:rsid w:val="75785DAA"/>
    <w:rsid w:val="75A474BF"/>
    <w:rsid w:val="75B24347"/>
    <w:rsid w:val="75E169D9"/>
    <w:rsid w:val="75FC185D"/>
    <w:rsid w:val="76174281"/>
    <w:rsid w:val="76225DA0"/>
    <w:rsid w:val="765536CD"/>
    <w:rsid w:val="76583C05"/>
    <w:rsid w:val="76782D71"/>
    <w:rsid w:val="76D658CB"/>
    <w:rsid w:val="76E8537C"/>
    <w:rsid w:val="76FE73D7"/>
    <w:rsid w:val="772E4D45"/>
    <w:rsid w:val="77590C5C"/>
    <w:rsid w:val="7766520C"/>
    <w:rsid w:val="77851882"/>
    <w:rsid w:val="77A06791"/>
    <w:rsid w:val="77A5619C"/>
    <w:rsid w:val="77C62289"/>
    <w:rsid w:val="77DB28BF"/>
    <w:rsid w:val="77F628D9"/>
    <w:rsid w:val="77F929F7"/>
    <w:rsid w:val="77FD20F9"/>
    <w:rsid w:val="780131BF"/>
    <w:rsid w:val="780F3611"/>
    <w:rsid w:val="781547CD"/>
    <w:rsid w:val="78387EA9"/>
    <w:rsid w:val="787B0961"/>
    <w:rsid w:val="787B1C2E"/>
    <w:rsid w:val="789B77BD"/>
    <w:rsid w:val="789D4DF4"/>
    <w:rsid w:val="78AB0A3F"/>
    <w:rsid w:val="78BC2107"/>
    <w:rsid w:val="78C42C50"/>
    <w:rsid w:val="78C65D8E"/>
    <w:rsid w:val="78F2288B"/>
    <w:rsid w:val="78FB4EBC"/>
    <w:rsid w:val="790D4041"/>
    <w:rsid w:val="791351F0"/>
    <w:rsid w:val="792C1D98"/>
    <w:rsid w:val="792E0DA5"/>
    <w:rsid w:val="79381886"/>
    <w:rsid w:val="794B0660"/>
    <w:rsid w:val="794D4547"/>
    <w:rsid w:val="795C33BE"/>
    <w:rsid w:val="79683F8F"/>
    <w:rsid w:val="79A219AE"/>
    <w:rsid w:val="79A40804"/>
    <w:rsid w:val="79A42111"/>
    <w:rsid w:val="79B96E91"/>
    <w:rsid w:val="79C67E8C"/>
    <w:rsid w:val="79E81D57"/>
    <w:rsid w:val="79EE3A2B"/>
    <w:rsid w:val="79EF20A7"/>
    <w:rsid w:val="79F156F9"/>
    <w:rsid w:val="7A0C0CD5"/>
    <w:rsid w:val="7A14416D"/>
    <w:rsid w:val="7A3250DE"/>
    <w:rsid w:val="7A476BDD"/>
    <w:rsid w:val="7A4B23CE"/>
    <w:rsid w:val="7A4D247D"/>
    <w:rsid w:val="7A6B785D"/>
    <w:rsid w:val="7A8F2C9F"/>
    <w:rsid w:val="7A911451"/>
    <w:rsid w:val="7AA2473D"/>
    <w:rsid w:val="7AA37D59"/>
    <w:rsid w:val="7AB841B5"/>
    <w:rsid w:val="7AC33974"/>
    <w:rsid w:val="7ACE5C60"/>
    <w:rsid w:val="7AD74F76"/>
    <w:rsid w:val="7B5B2A45"/>
    <w:rsid w:val="7B7D01F4"/>
    <w:rsid w:val="7B830929"/>
    <w:rsid w:val="7BA232D6"/>
    <w:rsid w:val="7BA257E6"/>
    <w:rsid w:val="7BA63A4F"/>
    <w:rsid w:val="7BC213FE"/>
    <w:rsid w:val="7BF41E15"/>
    <w:rsid w:val="7C26526E"/>
    <w:rsid w:val="7C7610CA"/>
    <w:rsid w:val="7C7C1C28"/>
    <w:rsid w:val="7C8E6638"/>
    <w:rsid w:val="7CA036D8"/>
    <w:rsid w:val="7CA06998"/>
    <w:rsid w:val="7CD04988"/>
    <w:rsid w:val="7CD37787"/>
    <w:rsid w:val="7CEE0B53"/>
    <w:rsid w:val="7CFA583E"/>
    <w:rsid w:val="7D117284"/>
    <w:rsid w:val="7D184410"/>
    <w:rsid w:val="7D516406"/>
    <w:rsid w:val="7D5F10A0"/>
    <w:rsid w:val="7D6F6422"/>
    <w:rsid w:val="7D9E3A61"/>
    <w:rsid w:val="7DA52167"/>
    <w:rsid w:val="7DAF3CA6"/>
    <w:rsid w:val="7DCE783A"/>
    <w:rsid w:val="7DE2231D"/>
    <w:rsid w:val="7DE267CD"/>
    <w:rsid w:val="7DEC0883"/>
    <w:rsid w:val="7E005D4F"/>
    <w:rsid w:val="7E040796"/>
    <w:rsid w:val="7E051A96"/>
    <w:rsid w:val="7E1270E2"/>
    <w:rsid w:val="7E2078C2"/>
    <w:rsid w:val="7E236AED"/>
    <w:rsid w:val="7E3C55D9"/>
    <w:rsid w:val="7E4C0F28"/>
    <w:rsid w:val="7E77727D"/>
    <w:rsid w:val="7E791977"/>
    <w:rsid w:val="7E971077"/>
    <w:rsid w:val="7EDC3010"/>
    <w:rsid w:val="7EEC14E3"/>
    <w:rsid w:val="7EEE6405"/>
    <w:rsid w:val="7F0322CC"/>
    <w:rsid w:val="7F351B4A"/>
    <w:rsid w:val="7F3C3C58"/>
    <w:rsid w:val="7F543508"/>
    <w:rsid w:val="7F6723C3"/>
    <w:rsid w:val="7F8C678F"/>
    <w:rsid w:val="7F9419EF"/>
    <w:rsid w:val="7F942883"/>
    <w:rsid w:val="7FB757EB"/>
    <w:rsid w:val="7FC44B63"/>
    <w:rsid w:val="7FF47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560" w:lineRule="exact"/>
      <w:ind w:firstLine="880" w:firstLineChars="200"/>
      <w:jc w:val="both"/>
    </w:pPr>
    <w:rPr>
      <w:rFonts w:ascii="仿宋_GB2312" w:hAnsi="仿宋_GB2312" w:eastAsia="仿宋_GB2312" w:cs="Times New Roman"/>
      <w:kern w:val="2"/>
      <w:sz w:val="32"/>
      <w:szCs w:val="22"/>
      <w:lang w:val="en-US" w:eastAsia="zh-CN" w:bidi="ar-SA"/>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0"/>
      <w:ind w:firstLine="420" w:firstLineChars="200"/>
    </w:pPr>
    <w:rPr>
      <w:rFonts w:ascii="Calibri" w:hAnsi="Calibri" w:cs="Times New Roman"/>
    </w:rPr>
  </w:style>
  <w:style w:type="paragraph" w:styleId="3">
    <w:name w:val="Body Text Indent"/>
    <w:basedOn w:val="1"/>
    <w:next w:val="4"/>
    <w:qFormat/>
    <w:uiPriority w:val="0"/>
    <w:pPr>
      <w:spacing w:line="600" w:lineRule="exact"/>
      <w:ind w:firstLine="630"/>
    </w:pPr>
    <w:rPr>
      <w:rFonts w:ascii="仿宋_GB2312" w:eastAsia="仿宋_GB2312"/>
      <w:sz w:val="32"/>
    </w:rPr>
  </w:style>
  <w:style w:type="paragraph" w:styleId="4">
    <w:name w:val="Normal Indent"/>
    <w:basedOn w:val="1"/>
    <w:next w:val="1"/>
    <w:qFormat/>
    <w:uiPriority w:val="0"/>
    <w:pPr>
      <w:ind w:firstLine="420" w:firstLineChars="200"/>
    </w:pPr>
    <w:rPr>
      <w:rFonts w:eastAsia="仿宋"/>
      <w:sz w:val="32"/>
    </w:rPr>
  </w:style>
  <w:style w:type="paragraph" w:styleId="5">
    <w:name w:val="Date"/>
    <w:basedOn w:val="1"/>
    <w:next w:val="1"/>
    <w:qFormat/>
    <w:uiPriority w:val="0"/>
    <w:rPr>
      <w:rFonts w:ascii="仿宋_GB2312" w:eastAsia="仿宋_GB2312"/>
      <w:sz w:val="28"/>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character" w:styleId="10">
    <w:name w:val="footnote reference"/>
    <w:basedOn w:val="9"/>
    <w:qFormat/>
    <w:uiPriority w:val="0"/>
    <w:rPr>
      <w:vertAlign w:val="superscript"/>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Default"/>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5806</Words>
  <Characters>6216</Characters>
  <Lines>0</Lines>
  <Paragraphs>0</Paragraphs>
  <TotalTime>5</TotalTime>
  <ScaleCrop>false</ScaleCrop>
  <LinksUpToDate>false</LinksUpToDate>
  <CharactersWithSpaces>6252</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2022-07-26T01:15:00Z</dcterms:created>
  <dc:creator>Administrator</dc:creator>
  <cp:lastModifiedBy>Administrator</cp:lastModifiedBy>
  <cp:lastPrinted>2024-04-29T07:09:59Z</cp:lastPrinted>
  <dcterms:modified xsi:type="dcterms:W3CDTF">2024-04-29T07:31:57Z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1037DA2BF9294055847B61351D900C27</vt:lpwstr>
  </property>
</Properties>
</file>