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6"/>
          <w:szCs w:val="36"/>
          <w:lang w:val="en-US" w:eastAsia="zh-CN"/>
        </w:rPr>
        <w:t>2022年</w:t>
      </w:r>
      <w:r>
        <w:rPr>
          <w:rFonts w:hint="eastAsia" w:ascii="黑体" w:hAnsi="黑体" w:eastAsia="黑体" w:cs="黑体"/>
          <w:sz w:val="36"/>
          <w:szCs w:val="36"/>
          <w:lang w:eastAsia="zh-CN"/>
        </w:rPr>
        <w:t>中兴镇法治建设报告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在区委、区政府的正确领导下，我镇始终坚持以习近平新时代中国特色社会主义思想为指导，深入贯彻落实习近平法治思想，围绕法治政府建设，以转变政府职能、规范执法为重心，积极开展各项工作，深入探索辖区内基层法治建设存在的“难点”“痛点”和“堵点”等薄弱环节，同时尽量挖掘辖区内法治建设过程中的亮点，取长补弱，精准聚焦发力，实现重点突破</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现将法治建设相关情况汇报如下：</w:t>
      </w:r>
    </w:p>
    <w:p>
      <w:pPr>
        <w:numPr>
          <w:ilvl w:val="0"/>
          <w:numId w:val="0"/>
        </w:numPr>
        <w:spacing w:line="540"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一、工作开展情况</w:t>
      </w:r>
    </w:p>
    <w:p>
      <w:pPr>
        <w:numPr>
          <w:ilvl w:val="0"/>
          <w:numId w:val="0"/>
        </w:numPr>
        <w:spacing w:line="540" w:lineRule="exact"/>
        <w:ind w:firstLine="643"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一是全盘谋划，推进法治中兴再上新台阶。</w:t>
      </w:r>
      <w:r>
        <w:rPr>
          <w:rFonts w:hint="eastAsia" w:ascii="仿宋_GB2312" w:hAnsi="仿宋_GB2312" w:eastAsia="仿宋_GB2312" w:cs="仿宋_GB2312"/>
          <w:kern w:val="0"/>
          <w:sz w:val="32"/>
          <w:szCs w:val="32"/>
          <w:lang w:val="en-US" w:eastAsia="zh-CN" w:bidi="ar"/>
        </w:rPr>
        <w:t>强化组织领导。深入学习贯彻落实习近平法治思想，将习近平法治思想作为党委中心组学习的重点内容；组织召开法治建设委员会会议，研究部署法治建设重点工作；党政主要负责人及各级领导干部均将“述法”纳入年终述职内容，开展宪法修正案、习近平法治思想、反有组织犯罪法学习共计3场。落实行政执法“三项制度”、促进依法履职。推进重大行政执法决定法制审核制度与“三项制度”深度融合，总结梳理全镇执法事项与执法依据，定期与城管中队、村建所等主要执法单位对接。今年共审核重大法治案件3件。加强依法履职。严格执行“三重一大”制度，完善议事和决策程序，完善“12345”市民服务热线办理机制，接受群众对依法行政工作的监督。设立中兴镇行政复议基层咨询受理点。今年无行政复议和行政诉讼案件。</w:t>
      </w:r>
    </w:p>
    <w:p>
      <w:pPr>
        <w:pStyle w:val="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二是多点发力，打好法治社会建设“组合拳”。</w:t>
      </w:r>
      <w:r>
        <w:rPr>
          <w:rFonts w:hint="eastAsia" w:ascii="仿宋_GB2312" w:hAnsi="仿宋_GB2312" w:eastAsia="仿宋_GB2312" w:cs="仿宋_GB2312"/>
          <w:kern w:val="0"/>
          <w:sz w:val="32"/>
          <w:szCs w:val="32"/>
          <w:lang w:val="en-US" w:eastAsia="zh-CN" w:bidi="ar"/>
        </w:rPr>
        <w:t>加强法治文化阵地建设。以“上海市第一届法治文化节”为契机，积极发掘本土资源，将非物质文化遗产“扁担戏”与法治宣传深度融合，录制法治文艺节目。新增三处镇、村级法治文化阵地，营造浓厚法治氛围。压实普法责任。制定2022年全镇法治宣传重点工作计划和普法责任清单，定期与执法单位联合开展“谁执法谁普法”宣传早市。今年以来，共发放普法宣传资料1000余份，法治宣传品300余份，在12个村居都已开展民法典等法治讲座。创新法治宣传形式。录制与疫情防控相关的《谣言》小视频，制作“守护养老钱 幸福享晚年”动漫微视频，组织开展“法护中兴‘宪’再出发”主题系列活动，营造浓厚的“学宪法讲宪法”氛围。</w:t>
      </w:r>
    </w:p>
    <w:p>
      <w:pPr>
        <w:spacing w:line="560" w:lineRule="exact"/>
        <w:ind w:firstLine="59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三是需求为先，确保公法服务触角再延伸。</w:t>
      </w:r>
      <w:r>
        <w:rPr>
          <w:rFonts w:hint="eastAsia" w:ascii="仿宋_GB2312" w:hAnsi="仿宋_GB2312" w:eastAsia="仿宋_GB2312" w:cs="仿宋_GB2312"/>
          <w:kern w:val="0"/>
          <w:sz w:val="32"/>
          <w:szCs w:val="32"/>
          <w:lang w:val="en-US" w:eastAsia="zh-CN" w:bidi="ar"/>
        </w:rPr>
        <w:t>以普惠为民为出发点，以司法所标准化建设为切入点，完善“站、室、点”三级公共法律服务网络建设，重点打造“聪哥公共法律服务点”“爱国村公共法律服务室”，进一步推动公共法律服务的触角下沉。不断丰富分片轮值、点位轮值、定期驻点等特色法律顾问工作机制内涵，定期邀请村居法律顾问参与镇信访矛盾、重大群体性事件的化解，强调建立以需求为导向的村居法律顾问民生品牌。建立每月矛盾纠纷排摸机制，整合包括专职调解员、驻村法官、村居法律顾问、镇公职律师等专业人士为一体的第一道调解防线，确保小事不出村、大事不出镇。</w:t>
      </w:r>
    </w:p>
    <w:p>
      <w:pPr>
        <w:spacing w:line="560" w:lineRule="exact"/>
        <w:ind w:firstLine="592"/>
        <w:rPr>
          <w:rFonts w:hint="eastAsia" w:ascii="仿宋_GB2312" w:hAnsi="仿宋_GB2312" w:eastAsia="仿宋_GB2312" w:cs="仿宋_GB2312"/>
          <w:b w:val="0"/>
          <w:bCs w:val="0"/>
          <w:snapToGrid w:val="0"/>
          <w:spacing w:val="-6"/>
          <w:kern w:val="0"/>
          <w:sz w:val="32"/>
          <w:szCs w:val="32"/>
          <w:lang w:val="en-US" w:eastAsia="zh-CN"/>
        </w:rPr>
      </w:pPr>
      <w:r>
        <w:rPr>
          <w:rFonts w:hint="eastAsia" w:ascii="仿宋_GB2312" w:hAnsi="仿宋_GB2312" w:eastAsia="仿宋_GB2312" w:cs="仿宋_GB2312"/>
          <w:b/>
          <w:bCs/>
          <w:color w:val="auto"/>
          <w:sz w:val="32"/>
          <w:szCs w:val="32"/>
          <w:lang w:val="en-US" w:eastAsia="zh-CN"/>
        </w:rPr>
        <w:t>四是强化责任，守护基层社会治理“安全网”。</w:t>
      </w:r>
      <w:r>
        <w:rPr>
          <w:rFonts w:hint="eastAsia" w:ascii="仿宋_GB2312" w:hAnsi="仿宋_GB2312" w:eastAsia="仿宋_GB2312" w:cs="仿宋_GB2312"/>
          <w:b w:val="0"/>
          <w:bCs w:val="0"/>
          <w:snapToGrid w:val="0"/>
          <w:spacing w:val="-6"/>
          <w:kern w:val="0"/>
          <w:sz w:val="32"/>
          <w:szCs w:val="32"/>
          <w:lang w:val="en-US" w:eastAsia="zh-CN"/>
        </w:rPr>
        <w:t>压实工作责任，强化安保意识。严守安全底线，落实落细各项工作措施，同时加强警示教育，落实安保演练，确保党的二十大和第五届进博会期间社区矫正对象的安全稳控。进一步落实计分考核管理规定，做好奖扣分的审批报送工作，并进行公式，做到公平公开。进一步巩固社区矫正责任制工作成果，规范开展各项矫正执法工作。深化所所联动，实现联防联控。为进一步加强辖区内社区矫正和刑释解矫对象监管工作，中兴镇司法所和汲浜派出所共同强化了信息资源共享、联合走访排查、加强两类人员管理参与等工作机制。定期对本镇不稳定因素和安全隐患进行了分析，并针对两类人员排摸情况共同筛选和甄别重点对象。焦工作重点，强化教育学习。积极组织开展防范电信网络诈骗专题教育，在教育中特别针对在疫情期间涉疫类新型诈骗案件，进行重点宣传教育，做到宣传教育精准施力，进一步提升矫正对象抵制电信网络诈骗的免疫力。</w:t>
      </w:r>
    </w:p>
    <w:p>
      <w:pPr>
        <w:numPr>
          <w:ilvl w:val="0"/>
          <w:numId w:val="0"/>
        </w:numPr>
        <w:spacing w:line="540"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二、存在问题及原因分析</w:t>
      </w:r>
    </w:p>
    <w:p>
      <w:pPr>
        <w:numPr>
          <w:ilvl w:val="0"/>
          <w:numId w:val="0"/>
        </w:numPr>
        <w:spacing w:line="540" w:lineRule="exact"/>
        <w:ind w:firstLine="643"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一是干部群众法治观念不够强。</w:t>
      </w:r>
      <w:r>
        <w:rPr>
          <w:rFonts w:hint="eastAsia" w:ascii="仿宋_GB2312" w:hAnsi="仿宋_GB2312" w:eastAsia="仿宋_GB2312" w:cs="仿宋_GB2312"/>
          <w:kern w:val="0"/>
          <w:sz w:val="32"/>
          <w:szCs w:val="32"/>
          <w:lang w:val="en-US" w:eastAsia="zh-CN" w:bidi="ar"/>
        </w:rPr>
        <w:t>机关干部法治学习不够积极主动，重业务、轻学习的思想依然存在。部分干部对法律法规学习不透，法治思想存在一些误区，谁执法谁普法尚未深入人心。部分群众有诉求不是第一时间寻求法律的帮助，仍然存在“信访不信法”现象。</w:t>
      </w:r>
      <w:r>
        <w:rPr>
          <w:rFonts w:hint="eastAsia" w:ascii="仿宋_GB2312" w:hAnsi="仿宋_GB2312" w:eastAsia="仿宋_GB2312" w:cs="仿宋_GB2312"/>
          <w:b/>
          <w:bCs/>
          <w:kern w:val="0"/>
          <w:sz w:val="32"/>
          <w:szCs w:val="32"/>
          <w:lang w:val="en-US" w:eastAsia="zh-CN" w:bidi="ar"/>
        </w:rPr>
        <w:t>二是法治宣传教育实效性低。</w:t>
      </w:r>
      <w:r>
        <w:rPr>
          <w:rFonts w:hint="eastAsia" w:ascii="仿宋_GB2312" w:hAnsi="仿宋_GB2312" w:eastAsia="仿宋_GB2312" w:cs="仿宋_GB2312"/>
          <w:kern w:val="0"/>
          <w:sz w:val="32"/>
          <w:szCs w:val="32"/>
          <w:lang w:val="en-US" w:eastAsia="zh-CN" w:bidi="ar"/>
        </w:rPr>
        <w:t>法治宣传教育工作主要依托早市、讲座、标语等形式开展进行，影响力仍不足，没有在群众中形成自觉学法、守法、用法的风气。同时宣传形式单一，主要以法律条文的宣讲、制作法制宣传栏、发放普法资料为主，群众参与度较低，没有形成双向的互动关系，渗透不足，造成效果不佳，利用微信、抖音等新媒体开展普法运用不够，法治宣传方式的创新有待加强。</w:t>
      </w:r>
      <w:r>
        <w:rPr>
          <w:rFonts w:hint="eastAsia" w:ascii="仿宋_GB2312" w:hAnsi="仿宋_GB2312" w:eastAsia="仿宋_GB2312" w:cs="仿宋_GB2312"/>
          <w:b/>
          <w:bCs/>
          <w:kern w:val="0"/>
          <w:sz w:val="32"/>
          <w:szCs w:val="32"/>
          <w:lang w:val="en-US" w:eastAsia="zh-CN" w:bidi="ar"/>
        </w:rPr>
        <w:t>三是行政执法队伍力量有限。</w:t>
      </w:r>
      <w:r>
        <w:rPr>
          <w:rFonts w:hint="eastAsia" w:ascii="仿宋_GB2312" w:hAnsi="仿宋_GB2312" w:eastAsia="仿宋_GB2312" w:cs="仿宋_GB2312"/>
          <w:kern w:val="0"/>
          <w:sz w:val="32"/>
          <w:szCs w:val="32"/>
          <w:lang w:val="en-US" w:eastAsia="zh-CN" w:bidi="ar"/>
        </w:rPr>
        <w:t>随着行政执法体制改革和执法重心向乡镇下移，现有基层的行政执法人员的数量和素质尚不能完全适应新形势的需要。因主客观因素的影响，部分案件办理周期长，专业技术人员匮乏。</w:t>
      </w:r>
    </w:p>
    <w:p>
      <w:pPr>
        <w:pStyle w:val="2"/>
        <w:numPr>
          <w:ilvl w:val="0"/>
          <w:numId w:val="0"/>
        </w:numPr>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三、下一步工作打算</w:t>
      </w:r>
    </w:p>
    <w:p>
      <w:pPr>
        <w:spacing w:line="540" w:lineRule="exact"/>
        <w:ind w:firstLine="643"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强调学法制度，提升干部法治素养。</w:t>
      </w:r>
      <w:r>
        <w:rPr>
          <w:rFonts w:hint="eastAsia" w:ascii="仿宋_GB2312" w:hAnsi="仿宋_GB2312" w:eastAsia="仿宋_GB2312" w:cs="仿宋_GB2312"/>
          <w:kern w:val="0"/>
          <w:sz w:val="32"/>
          <w:szCs w:val="32"/>
          <w:lang w:val="en-US" w:eastAsia="zh-CN" w:bidi="ar"/>
        </w:rPr>
        <w:t>进一步落实党委中心组学法制度，推进学法长效机制建设，逐步提高专职法治人员和专业法律人员的配比，推动基层工作依法开展、基层事务依法办理、基层问题依法解决。加强党委政府法律顾问的日常管理、日常评价和任期考核，建立法律顾问常态化联系沟通机制，提高法律顾问服务水平和质量。</w:t>
      </w:r>
      <w:r>
        <w:rPr>
          <w:rFonts w:hint="eastAsia" w:ascii="仿宋_GB2312" w:hAnsi="仿宋_GB2312" w:eastAsia="仿宋_GB2312" w:cs="仿宋_GB2312"/>
          <w:b/>
          <w:bCs/>
          <w:kern w:val="0"/>
          <w:sz w:val="32"/>
          <w:szCs w:val="32"/>
          <w:lang w:val="en-US" w:eastAsia="zh-CN" w:bidi="ar"/>
        </w:rPr>
        <w:t>创新普法形式，增强法治教育实效。</w:t>
      </w:r>
      <w:r>
        <w:rPr>
          <w:rFonts w:hint="eastAsia" w:ascii="仿宋_GB2312" w:hAnsi="仿宋_GB2312" w:eastAsia="仿宋_GB2312" w:cs="仿宋_GB2312"/>
          <w:kern w:val="0"/>
          <w:sz w:val="32"/>
          <w:szCs w:val="32"/>
          <w:lang w:val="en-US" w:eastAsia="zh-CN" w:bidi="ar"/>
        </w:rPr>
        <w:t>有针对性、经常性、多渠道的全方面加强对群众的普法宣传教育，加强与群众的法治互动，组织一些群众参与性强的法治宣传。充分发挥新媒体的作用，打造法治宣传教育工作特色品牌。</w:t>
      </w:r>
      <w:r>
        <w:rPr>
          <w:rFonts w:hint="eastAsia" w:ascii="仿宋_GB2312" w:hAnsi="仿宋_GB2312" w:eastAsia="仿宋_GB2312" w:cs="仿宋_GB2312"/>
          <w:b/>
          <w:bCs/>
          <w:kern w:val="0"/>
          <w:sz w:val="32"/>
          <w:szCs w:val="32"/>
          <w:lang w:val="en-US" w:eastAsia="zh-CN" w:bidi="ar"/>
        </w:rPr>
        <w:t>规范执法人员管理，调动执法人员积极性。</w:t>
      </w:r>
      <w:r>
        <w:rPr>
          <w:rFonts w:hint="eastAsia" w:ascii="仿宋_GB2312" w:hAnsi="仿宋_GB2312" w:eastAsia="仿宋_GB2312" w:cs="仿宋_GB2312"/>
          <w:kern w:val="0"/>
          <w:sz w:val="32"/>
          <w:szCs w:val="32"/>
          <w:lang w:val="en-US" w:eastAsia="zh-CN" w:bidi="ar"/>
        </w:rPr>
        <w:t>加大行政执法监督力度，经常性开展执法工作检查监督和案件评查，加强对落实三项制度工作的组织领导和检查考核，坚决纠正违法行政行为，审好每一个重大行政执法法制审核案件。</w:t>
      </w:r>
    </w:p>
    <w:p>
      <w:pPr>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rPr>
          <w:rFonts w:hint="eastAsia" w:ascii="仿宋_GB2312" w:hAnsi="仿宋_GB2312" w:eastAsia="仿宋_GB2312" w:cs="仿宋_GB2312"/>
          <w:kern w:val="0"/>
          <w:sz w:val="32"/>
          <w:szCs w:val="32"/>
          <w:lang w:val="en-US" w:eastAsia="zh-CN" w:bidi="ar"/>
        </w:rPr>
      </w:pPr>
    </w:p>
    <w:p>
      <w:pPr>
        <w:pStyle w:val="2"/>
        <w:jc w:val="right"/>
        <w:rPr>
          <w:rFonts w:hint="eastAsia" w:ascii="仿宋_GB2312" w:hAnsi="仿宋_GB2312" w:eastAsia="仿宋_GB2312" w:cs="仿宋_GB2312"/>
          <w:kern w:val="0"/>
          <w:sz w:val="32"/>
          <w:szCs w:val="32"/>
          <w:lang w:val="en-US" w:eastAsia="zh-CN"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auhaus 93">
    <w:panose1 w:val="04030905020B02020C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Gill Sans MT">
    <w:panose1 w:val="020B0502020104020203"/>
    <w:charset w:val="00"/>
    <w:family w:val="auto"/>
    <w:pitch w:val="default"/>
    <w:sig w:usb0="00000003" w:usb1="00000000" w:usb2="00000000" w:usb3="00000000" w:csb0="20000003" w:csb1="00000000"/>
  </w:font>
  <w:font w:name="Harlow Solid Italic">
    <w:panose1 w:val="04030604020F02020D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Poiret One">
    <w:panose1 w:val="02000000000000000000"/>
    <w:charset w:val="00"/>
    <w:family w:val="auto"/>
    <w:pitch w:val="default"/>
    <w:sig w:usb0="A000022F" w:usb1="5000004A" w:usb2="00000000" w:usb3="00000000" w:csb0="00000097" w:csb1="00000000"/>
  </w:font>
  <w:font w:name="Roboto Condensed">
    <w:panose1 w:val="02000000000000000000"/>
    <w:charset w:val="00"/>
    <w:family w:val="auto"/>
    <w:pitch w:val="default"/>
    <w:sig w:usb0="E0000AFF" w:usb1="5000217F" w:usb2="00000021" w:usb3="00000000" w:csb0="2000019F" w:csb1="00000000"/>
  </w:font>
  <w:font w:name="Roboto Slab">
    <w:panose1 w:val="00000000000000000000"/>
    <w:charset w:val="00"/>
    <w:family w:val="auto"/>
    <w:pitch w:val="default"/>
    <w:sig w:usb0="E00002FF" w:usb1="5000205B" w:usb2="00000020" w:usb3="00000000" w:csb0="2000019F" w:csb1="4F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Rod">
    <w:panose1 w:val="02030509050101010101"/>
    <w:charset w:val="00"/>
    <w:family w:val="auto"/>
    <w:pitch w:val="default"/>
    <w:sig w:usb0="00000801" w:usb1="00000000" w:usb2="00000000" w:usb3="00000000" w:csb0="00000020" w:csb1="002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汉仪大黑简">
    <w:altName w:val="黑体"/>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3" w:usb2="00000000" w:usb3="00000000" w:csb0="2000009F" w:csb1="00000000"/>
  </w:font>
  <w:font w:name="方正黑体_GBK">
    <w:altName w:val="Arial Unicode MS"/>
    <w:panose1 w:val="02000000000000000000"/>
    <w:charset w:val="86"/>
    <w:family w:val="auto"/>
    <w:pitch w:val="default"/>
    <w:sig w:usb0="00000000" w:usb1="0000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 w:name="CESI楷体-GB2312">
    <w:altName w:val="楷体_GB2312"/>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简体">
    <w:altName w:val="宋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康简标题宋">
    <w:altName w:val="宋体"/>
    <w:panose1 w:val="02010609000101010101"/>
    <w:charset w:val="86"/>
    <w:family w:val="moder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00" w:usb3="00000000" w:csb0="00000000" w:csb1="00000000"/>
  </w:font>
  <w:font w:name="方正楷体_GB2312">
    <w:altName w:val="楷体_GB2312"/>
    <w:panose1 w:val="02000000000000000000"/>
    <w:charset w:val="86"/>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华康简标题宋">
    <w:altName w:val="宋体"/>
    <w:panose1 w:val="02010609000101010101"/>
    <w:charset w:val="00"/>
    <w:family w:val="modern"/>
    <w:pitch w:val="default"/>
    <w:sig w:usb0="00000000" w:usb1="00000000" w:usb2="00000000" w:usb3="00000000" w:csb0="00040001" w:csb1="00000000"/>
  </w:font>
  <w:font w:name="DengXian">
    <w:altName w:val="宋体"/>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20B0603030804020204"/>
    <w:charset w:val="00"/>
    <w:family w:val="auto"/>
    <w:pitch w:val="default"/>
    <w:sig w:usb0="00000000" w:usb1="00000000" w:usb2="0A246029" w:usb3="0400200C" w:csb0="600001FF" w:csb1="DFFF0000"/>
  </w:font>
  <w:font w:name="汉仪叶叶相思体简">
    <w:altName w:val="宋体"/>
    <w:panose1 w:val="02010509060101010101"/>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51D7B"/>
    <w:rsid w:val="06E753DA"/>
    <w:rsid w:val="081853E1"/>
    <w:rsid w:val="0E250806"/>
    <w:rsid w:val="1E1D00DC"/>
    <w:rsid w:val="2389572D"/>
    <w:rsid w:val="37601D4B"/>
    <w:rsid w:val="3AF437CA"/>
    <w:rsid w:val="3B8724A9"/>
    <w:rsid w:val="40781602"/>
    <w:rsid w:val="4372675C"/>
    <w:rsid w:val="56966939"/>
    <w:rsid w:val="56F27C72"/>
    <w:rsid w:val="5E3E2738"/>
    <w:rsid w:val="61C56E70"/>
    <w:rsid w:val="662B0A6B"/>
    <w:rsid w:val="6F7D5095"/>
    <w:rsid w:val="78C6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spacing w:line="560" w:lineRule="exact"/>
      <w:ind w:firstLine="640" w:firstLineChars="200"/>
      <w:jc w:val="left"/>
    </w:pPr>
    <w:rPr>
      <w:rFonts w:ascii="楷体" w:hAnsi="楷体" w:eastAsia="楷体" w:cs="仿宋"/>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2021-09-27T06:10:00Z</dcterms:created>
  <dc:creator>Administrator</dc:creator>
  <cp:lastModifiedBy>Administrator</cp:lastModifiedBy>
  <dcterms:modified xsi:type="dcterms:W3CDTF">2023-02-27T05:19:01Z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