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pacing w:val="-11"/>
          <w:kern w:val="0"/>
          <w:sz w:val="44"/>
          <w:szCs w:val="44"/>
          <w:lang w:val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kern w:val="0"/>
          <w:sz w:val="44"/>
          <w:szCs w:val="44"/>
          <w:lang w:val="zh-CN"/>
        </w:rPr>
        <w:t>关于建设镇202</w:t>
      </w:r>
      <w:r>
        <w:rPr>
          <w:rFonts w:hint="eastAsia" w:ascii="方正小标宋简体" w:hAnsi="方正小标宋简体" w:eastAsia="方正小标宋简体" w:cs="方正小标宋简体"/>
          <w:spacing w:val="-11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-11"/>
          <w:kern w:val="0"/>
          <w:sz w:val="44"/>
          <w:szCs w:val="44"/>
          <w:lang w:val="zh-CN"/>
        </w:rPr>
        <w:t>年财政预算执行情况及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pacing w:val="-11"/>
          <w:kern w:val="0"/>
          <w:sz w:val="44"/>
          <w:szCs w:val="44"/>
          <w:lang w:val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kern w:val="0"/>
          <w:sz w:val="44"/>
          <w:szCs w:val="44"/>
          <w:lang w:val="zh-CN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11"/>
          <w:kern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pacing w:val="-11"/>
          <w:kern w:val="0"/>
          <w:sz w:val="44"/>
          <w:szCs w:val="44"/>
          <w:lang w:val="zh-CN"/>
        </w:rPr>
        <w:t>年财政预算</w:t>
      </w:r>
      <w:r>
        <w:rPr>
          <w:rFonts w:hint="eastAsia" w:ascii="方正小标宋简体" w:hAnsi="方正小标宋简体" w:eastAsia="方正小标宋简体" w:cs="方正小标宋简体"/>
          <w:spacing w:val="-11"/>
          <w:kern w:val="0"/>
          <w:sz w:val="44"/>
          <w:szCs w:val="44"/>
          <w:lang w:val="zh-CN"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pacing w:val="-11"/>
          <w:kern w:val="0"/>
          <w:sz w:val="44"/>
          <w:szCs w:val="44"/>
          <w:lang w:val="zh-CN"/>
        </w:rPr>
        <w:t>草案</w:t>
      </w:r>
      <w:r>
        <w:rPr>
          <w:rFonts w:hint="eastAsia" w:ascii="方正小标宋简体" w:hAnsi="方正小标宋简体" w:eastAsia="方正小标宋简体" w:cs="方正小标宋简体"/>
          <w:spacing w:val="-11"/>
          <w:kern w:val="0"/>
          <w:sz w:val="44"/>
          <w:szCs w:val="44"/>
          <w:lang w:val="zh-CN"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pacing w:val="-11"/>
          <w:kern w:val="0"/>
          <w:sz w:val="44"/>
          <w:szCs w:val="44"/>
          <w:lang w:val="zh-CN"/>
        </w:rPr>
        <w:t>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ascii="楷体_GB2312" w:hAnsi="楷体_GB2312" w:eastAsia="楷体_GB2312" w:cs="楷体_GB2312"/>
          <w:w w:val="8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w w:val="95"/>
          <w:sz w:val="32"/>
          <w:szCs w:val="32"/>
          <w:lang w:val="en-US" w:eastAsia="zh-CN"/>
        </w:rPr>
        <w:t>——</w:t>
      </w:r>
      <w:r>
        <w:rPr>
          <w:rFonts w:hint="eastAsia" w:ascii="楷体_GB2312" w:hAnsi="楷体_GB2312" w:eastAsia="楷体_GB2312" w:cs="楷体_GB2312"/>
          <w:w w:val="80"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w w:val="80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w w:val="80"/>
          <w:sz w:val="32"/>
          <w:szCs w:val="32"/>
        </w:rPr>
        <w:t>年</w:t>
      </w:r>
      <w:r>
        <w:rPr>
          <w:rFonts w:hint="eastAsia" w:ascii="楷体_GB2312" w:hAnsi="楷体_GB2312" w:eastAsia="楷体_GB2312" w:cs="楷体_GB2312"/>
          <w:w w:val="80"/>
          <w:sz w:val="32"/>
          <w:szCs w:val="32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w w:val="80"/>
          <w:sz w:val="32"/>
          <w:szCs w:val="32"/>
        </w:rPr>
        <w:t>月</w:t>
      </w:r>
      <w:r>
        <w:rPr>
          <w:rFonts w:hint="eastAsia" w:ascii="楷体_GB2312" w:hAnsi="楷体_GB2312" w:eastAsia="楷体_GB2312" w:cs="楷体_GB2312"/>
          <w:w w:val="80"/>
          <w:sz w:val="32"/>
          <w:szCs w:val="32"/>
          <w:lang w:val="en-US" w:eastAsia="zh-CN"/>
        </w:rPr>
        <w:t>15</w:t>
      </w:r>
      <w:r>
        <w:rPr>
          <w:rFonts w:hint="eastAsia" w:ascii="楷体_GB2312" w:hAnsi="楷体_GB2312" w:eastAsia="楷体_GB2312" w:cs="楷体_GB2312"/>
          <w:w w:val="80"/>
          <w:sz w:val="32"/>
          <w:szCs w:val="32"/>
        </w:rPr>
        <w:t>日在崇明区建设镇第二届人民代表大会第</w:t>
      </w:r>
      <w:r>
        <w:rPr>
          <w:rFonts w:hint="eastAsia" w:ascii="楷体_GB2312" w:hAnsi="楷体_GB2312" w:eastAsia="楷体_GB2312" w:cs="楷体_GB2312"/>
          <w:w w:val="80"/>
          <w:sz w:val="32"/>
          <w:szCs w:val="32"/>
          <w:lang w:val="en-US" w:eastAsia="zh-CN"/>
        </w:rPr>
        <w:t>十一次</w:t>
      </w:r>
      <w:r>
        <w:rPr>
          <w:rFonts w:hint="eastAsia" w:ascii="楷体_GB2312" w:hAnsi="楷体_GB2312" w:eastAsia="楷体_GB2312" w:cs="楷体_GB2312"/>
          <w:w w:val="80"/>
          <w:sz w:val="32"/>
          <w:szCs w:val="32"/>
        </w:rPr>
        <w:t>会议上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我代表建设镇人民政府，向大会报告镇202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sz w:val="32"/>
          <w:szCs w:val="32"/>
        </w:rPr>
        <w:t>年财政预算执行情况及202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/>
          <w:sz w:val="32"/>
          <w:szCs w:val="32"/>
        </w:rPr>
        <w:t>年财政预算草案，请予审议，并请各位代表提出宝贵意见。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0" w:afterLines="100" w:line="560" w:lineRule="exact"/>
        <w:jc w:val="center"/>
        <w:textAlignment w:val="auto"/>
        <w:rPr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一、202</w:t>
      </w:r>
      <w:r>
        <w:rPr>
          <w:rFonts w:hint="eastAsia" w:asci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eastAsia="黑体"/>
          <w:sz w:val="32"/>
          <w:szCs w:val="32"/>
        </w:rPr>
        <w:t>年财政预算执行情况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lang w:val="zh-CN"/>
        </w:rPr>
      </w:pPr>
      <w:r>
        <w:rPr>
          <w:rFonts w:hint="eastAsia" w:ascii="仿宋_GB2312" w:hAnsi="Calibri" w:eastAsia="仿宋_GB2312"/>
          <w:sz w:val="32"/>
          <w:szCs w:val="32"/>
          <w:lang w:val="zh-CN"/>
        </w:rPr>
        <w:t>202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年，在镇党委和上级部门的正确领导下，在镇人大的监督支持下，镇党政机关坚持过“紧日子”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牢牢把握稳中求进的工作原则，践行新发展理念，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积极发挥财政基础性、支撑性作用，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全力保障民生、重点领域支出，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预算执行情况总体平稳有序。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现将202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年预算执行情况报告如下：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一般公共预算收入执行情况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2024年</w:t>
      </w:r>
      <w:r>
        <w:rPr>
          <w:rFonts w:hint="eastAsia" w:hAnsi="Calibri" w:cs="Times New Roman"/>
          <w:kern w:val="2"/>
          <w:sz w:val="32"/>
          <w:szCs w:val="32"/>
          <w:lang w:val="en-US" w:eastAsia="zh-CN" w:bidi="ar-SA"/>
        </w:rPr>
        <w:t>全镇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财政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一般公共预算收入</w:t>
      </w:r>
      <w:r>
        <w:rPr>
          <w:rFonts w:hint="eastAsia" w:hAnsi="Calibri"/>
          <w:sz w:val="32"/>
          <w:szCs w:val="32"/>
          <w:lang w:val="en-US" w:eastAsia="zh-CN"/>
        </w:rPr>
        <w:t>49139.46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万元，完成调整预算的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%。</w:t>
      </w:r>
      <w:r>
        <w:rPr>
          <w:rFonts w:hint="eastAsia" w:hAnsi="Calibri"/>
          <w:sz w:val="32"/>
          <w:szCs w:val="32"/>
          <w:lang w:val="zh-CN"/>
        </w:rPr>
        <w:t>其中：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镇级财政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一般公共预算收入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28610.95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</w:t>
      </w:r>
      <w:r>
        <w:rPr>
          <w:rFonts w:hint="eastAsia" w:hAnsi="Calibri"/>
          <w:sz w:val="32"/>
          <w:szCs w:val="32"/>
          <w:lang w:val="zh-CN"/>
        </w:rPr>
        <w:t>（</w:t>
      </w:r>
      <w:r>
        <w:rPr>
          <w:rFonts w:hint="eastAsia" w:hAnsi="仿宋_GB2312" w:cs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包含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动用预算稳定调节基金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1610.95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万元</w:t>
      </w:r>
      <w:r>
        <w:rPr>
          <w:rFonts w:hint="eastAsia" w:hAnsi="Calibri"/>
          <w:sz w:val="32"/>
          <w:szCs w:val="32"/>
          <w:lang w:val="zh-CN"/>
        </w:rPr>
        <w:t>）</w:t>
      </w:r>
      <w:r>
        <w:rPr>
          <w:rFonts w:hint="eastAsia" w:hAnsi="仿宋_GB2312" w:cs="仿宋_GB2312"/>
          <w:color w:val="000000"/>
          <w:sz w:val="32"/>
          <w:szCs w:val="32"/>
          <w:lang w:val="en-US" w:eastAsia="zh-CN"/>
        </w:rPr>
        <w:t>；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一般公共预算专项转移支付</w:t>
      </w:r>
      <w:r>
        <w:rPr>
          <w:rFonts w:hint="eastAsia" w:ascii="仿宋_GB2312" w:hAnsi="Calibri" w:eastAsia="仿宋_GB2312"/>
          <w:sz w:val="32"/>
          <w:szCs w:val="32"/>
        </w:rPr>
        <w:t>总收入15793.81万元</w:t>
      </w:r>
      <w:r>
        <w:rPr>
          <w:rFonts w:hint="eastAsia" w:hAnsi="Calibri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/>
          <w:sz w:val="32"/>
          <w:szCs w:val="32"/>
        </w:rPr>
        <w:t>其中202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sz w:val="32"/>
          <w:szCs w:val="32"/>
        </w:rPr>
        <w:t>年度收入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8074.93</w:t>
      </w:r>
      <w:r>
        <w:rPr>
          <w:rFonts w:hint="eastAsia" w:ascii="仿宋_GB2312" w:hAnsi="Calibri" w:eastAsia="仿宋_GB2312"/>
          <w:sz w:val="32"/>
          <w:szCs w:val="32"/>
        </w:rPr>
        <w:t>万元，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Calibri" w:eastAsia="仿宋_GB2312"/>
          <w:sz w:val="32"/>
          <w:szCs w:val="32"/>
        </w:rPr>
        <w:t>年度结转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7718.88</w:t>
      </w:r>
      <w:r>
        <w:rPr>
          <w:rFonts w:hint="eastAsia" w:ascii="仿宋_GB2312" w:hAnsi="Calibri" w:eastAsia="仿宋_GB2312"/>
          <w:sz w:val="32"/>
          <w:szCs w:val="32"/>
        </w:rPr>
        <w:t>万元</w:t>
      </w:r>
      <w:r>
        <w:rPr>
          <w:rFonts w:hint="eastAsia" w:hAnsi="Calibri"/>
          <w:sz w:val="32"/>
          <w:szCs w:val="32"/>
          <w:lang w:eastAsia="zh-CN"/>
        </w:rPr>
        <w:t>）；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一般转移支付补充</w:t>
      </w:r>
      <w:r>
        <w:rPr>
          <w:rFonts w:hint="eastAsia" w:hAnsi="Calibri"/>
          <w:sz w:val="32"/>
          <w:szCs w:val="32"/>
          <w:lang w:val="zh-CN"/>
        </w:rPr>
        <w:t>上解支出</w:t>
      </w:r>
      <w:r>
        <w:rPr>
          <w:rFonts w:hint="eastAsia" w:hAnsi="Calibri"/>
          <w:sz w:val="32"/>
          <w:szCs w:val="32"/>
          <w:lang w:val="en-US" w:eastAsia="zh-CN"/>
        </w:rPr>
        <w:t>4734.7万元。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楷体_GB2312" w:eastAsia="仿宋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  <w:t>（二）一般公共预算支出执行情况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zh-CN" w:eastAsia="zh-CN"/>
        </w:rPr>
      </w:pPr>
      <w:r>
        <w:rPr>
          <w:rFonts w:hint="eastAsia" w:ascii="仿宋_GB2312" w:hAnsi="Calibri" w:eastAsia="仿宋_GB2312"/>
          <w:sz w:val="32"/>
          <w:szCs w:val="32"/>
          <w:lang w:val="zh-CN"/>
        </w:rPr>
        <w:t>202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年，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财政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全年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预算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支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val="zh-CN" w:eastAsia="zh-CN"/>
          <w14:textFill>
            <w14:solidFill>
              <w14:schemeClr w14:val="tx1"/>
            </w14:solidFill>
          </w14:textFill>
        </w:rPr>
        <w:t>出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49139.46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val="zh-CN"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元。其中截止12月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日预算执行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37336.6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万元（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其中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：镇级一般公共预算支出</w:t>
      </w:r>
      <w:r>
        <w:rPr>
          <w:rFonts w:hint="eastAsia" w:ascii="仿宋_GB2312" w:hAnsi="Calibri" w:eastAsia="仿宋_GB2312"/>
          <w:b w:val="0"/>
          <w:bCs/>
          <w:sz w:val="32"/>
          <w:szCs w:val="32"/>
          <w:lang w:val="en-US" w:eastAsia="zh-CN"/>
        </w:rPr>
        <w:t>26548.55</w:t>
      </w:r>
      <w:r>
        <w:rPr>
          <w:rFonts w:hint="eastAsia" w:ascii="仿宋_GB2312" w:hAnsi="Calibri" w:eastAsia="仿宋_GB2312"/>
          <w:b w:val="0"/>
          <w:bCs/>
          <w:sz w:val="32"/>
          <w:szCs w:val="32"/>
          <w:lang w:val="zh-CN"/>
        </w:rPr>
        <w:t>万元，完成调整预算支出的</w:t>
      </w:r>
      <w:r>
        <w:rPr>
          <w:rFonts w:hint="eastAsia" w:ascii="仿宋_GB2312" w:hAnsi="Calibri" w:eastAsia="仿宋_GB2312"/>
          <w:b w:val="0"/>
          <w:bCs/>
          <w:sz w:val="32"/>
          <w:szCs w:val="32"/>
          <w:lang w:val="en-US" w:eastAsia="zh-CN"/>
        </w:rPr>
        <w:t>92.79</w:t>
      </w:r>
      <w:r>
        <w:rPr>
          <w:rFonts w:hint="eastAsia" w:ascii="仿宋_GB2312" w:hAnsi="Calibri" w:eastAsia="仿宋_GB2312"/>
          <w:b w:val="0"/>
          <w:bCs/>
          <w:sz w:val="32"/>
          <w:szCs w:val="32"/>
          <w:lang w:val="zh-CN"/>
        </w:rPr>
        <w:t>%（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镇级一般公共预算支出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24993.08万元，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highlight w:val="none"/>
          <w:lang w:eastAsia="zh-CN"/>
        </w:rPr>
        <w:t>动用预算稳定调节基金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  <w:t>1555.47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hAnsi="Calibri" w:eastAsia="仿宋_GB2312"/>
          <w:b w:val="0"/>
          <w:bCs/>
          <w:sz w:val="32"/>
          <w:szCs w:val="32"/>
          <w:lang w:val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zh-CN"/>
        </w:rPr>
        <w:t>一般预算专项转移支付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</w:rPr>
        <w:t>总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zh-CN"/>
        </w:rPr>
        <w:t>支出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en-US" w:eastAsia="zh-CN"/>
        </w:rPr>
        <w:t>10788.05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zh-CN"/>
        </w:rPr>
        <w:t>万元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）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zh-CN"/>
        </w:rPr>
        <w:t>；上解支出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en-US" w:eastAsia="zh-CN"/>
        </w:rPr>
        <w:t>4734.7万元；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zh-CN"/>
        </w:rPr>
        <w:t>结转到202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zh-CN"/>
        </w:rPr>
        <w:t>年专项转移支付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en-US" w:eastAsia="zh-CN"/>
        </w:rPr>
        <w:t>5005.76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zh-CN"/>
        </w:rPr>
        <w:t>万元；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zh-CN" w:eastAsia="zh-CN"/>
        </w:rPr>
        <w:t>安排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zh-CN"/>
        </w:rPr>
        <w:t>预算稳定调节基金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en-US" w:eastAsia="zh-CN"/>
        </w:rPr>
        <w:t>2062.4万元。具体情况如下：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1.镇级一般公共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预算支出具体情况如下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outlineLvl w:val="9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（1）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一般公共服务：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预算执行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3210.7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万元。主要用于：人大事务、政府办公厅（室）及相关机构事务、统计信息事务、财政事务、审计事务、纪检监察事务、商贸事务、群众团体事务、组织事务、宣传事务、统战事务、其他共产党事务等支出。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outlineLvl w:val="9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（2）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教育：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预算执行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24.58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万元。主要用于：普通教育支出。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（3）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科学技术：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预算执行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400.23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万元。主要用于：科学技术普及、其他科学技术等支出。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（4）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文化旅游体育与传媒：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预算执行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132.5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万元。主要用于：文化和旅游、文化中心运维、文体专项等支出。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（5）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社会保障和就业：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预算执行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13308.58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万元。主要用于：民政管理事务、敬老院经费、受理中心经费、社区工作者经费、生态养护社经费、行政事业单位养老、就业补助、抚恤、社会福利、残疾人事业等支出。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（6）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卫生健康：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预算执行</w:t>
      </w:r>
      <w:r>
        <w:rPr>
          <w:rFonts w:hint="eastAsia" w:ascii="仿宋_GB2312" w:hAnsi="Calibri" w:eastAsia="仿宋_GB2312"/>
          <w:sz w:val="32"/>
          <w:szCs w:val="32"/>
        </w:rPr>
        <w:t>456.01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万元。主要用于：公共卫生、计划生育、食品安全、献血、红十字会、行政事业单位医疗等支出。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（7）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节能环保：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预算执行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432.44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万元。主要用于：环境保护管理事务、自然生态保护、污染减排等支出。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（8）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城乡社区事务：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预算执行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2634.73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万元。主要用于：</w:t>
      </w:r>
      <w:r>
        <w:rPr>
          <w:rFonts w:hint="eastAsia" w:ascii="仿宋_GB2312" w:hAnsi="Calibri" w:eastAsia="仿宋_GB2312"/>
          <w:sz w:val="32"/>
          <w:szCs w:val="32"/>
        </w:rPr>
        <w:t>城乡社区管理事务、城乡社区规划与管理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/>
          <w:sz w:val="32"/>
          <w:szCs w:val="32"/>
        </w:rPr>
        <w:t>城乡社区公共设施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、城乡社区环境卫生、其他城乡社区支出</w:t>
      </w:r>
      <w:r>
        <w:rPr>
          <w:rFonts w:hint="eastAsia" w:ascii="仿宋_GB2312" w:hAnsi="Calibri" w:eastAsia="仿宋_GB2312"/>
          <w:sz w:val="32"/>
          <w:szCs w:val="32"/>
        </w:rPr>
        <w:t>等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支出。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（9）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农林水事务：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预算执行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1587.34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万元。主要用于：农业农村事业、农业经费、林业经费、水利经费、农村综合改革、其他农林水等支出。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（10）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其他商业流通事务：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预算执行</w:t>
      </w:r>
      <w:r>
        <w:rPr>
          <w:rFonts w:hint="eastAsia" w:ascii="仿宋_GB2312" w:hAnsi="Calibri" w:eastAsia="仿宋_GB2312"/>
          <w:sz w:val="32"/>
          <w:szCs w:val="32"/>
        </w:rPr>
        <w:t>2200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万元。主要用于：平台奖励、经济小区工作经费等资金。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（11）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住房保障：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预算执行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605.97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万元。主要用于：住房公积金、购房补贴支出。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（12）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动用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预算稳定调节基金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预算执行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1555.47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主要用于中小企业扶持、生态养护社经费。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（13）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预算稳定调节基金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2062.4万元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根据今年预算调整后的项目资金，尚有部分资金没有执行，各部门、各单位按照过“紧日子”要求，各类未执行项目资金全部收回后纳入明年预算（包含原预算稳定调节基金结余的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55.48万元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2.一般公共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预算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专项转移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支出具体情况如下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一般公共服务支出</w:t>
      </w: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55.77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主要用于：人大事务、其他一般公共服务等支出。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（</w:t>
      </w: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）社会保障和就业支出1046.9万元。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主要用于：行政事业单位养老支出、就业补助、抚恤、社会福利、残疾人事业、其他生活救助、退役军人管理事务、其他社会保障和就业支出等支出。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（</w:t>
      </w: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）卫生健康支出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878.05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主要用于：医疗救助等支出。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（</w:t>
      </w: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）节能环保支出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759.58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主要用于：污染减排支出。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（</w:t>
      </w: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）城乡社区支出62.16万元。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主要用于：城乡社区公共设施、城乡社区环境卫生等支出。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（</w:t>
      </w: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）农林水支出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7795.77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主要用于：农业农村、林业、水利、农村综合改革等支出。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ascii="仿宋_GB2312" w:hAnsi="Calibri" w:eastAsia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（</w:t>
      </w: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）交通运输支出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87.24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主要用于：公路养护支出。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（</w:t>
      </w: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）粮油物资支出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100.58</w:t>
      </w:r>
      <w:r>
        <w:rPr>
          <w:rFonts w:hint="eastAsia" w:ascii="仿宋_GB2312" w:hAnsi="Calibri" w:eastAsia="仿宋_GB2312"/>
          <w:b/>
          <w:bCs/>
          <w:sz w:val="32"/>
          <w:szCs w:val="32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主要用于：储备粮油补贴支出。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上解支出情况（区与镇共同承担事项）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auto"/>
          <w:lang w:val="en-US" w:eastAsia="zh-CN" w:bidi="ar-SA"/>
        </w:rPr>
        <w:t>根据崇明区财政体制改革要求，按照“谁的财政事权，谁承担支出责任”的原则，2024年度我镇上解支出金额为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4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734.7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。主要用于：终身教育经费、政法委等社工薪酬、司法局所辖司法所经费、市场监管局所辖市场监管所经费、免费刻章经费、城运中心一线督察员、农电表箱维保项目、计划生育、城乡医疗救助、城乡居民基本医疗保险、义务兵优待金、生态养老补贴、城乡居民养老保险、蔬菜产能提升、绿色补贴农药、体制结算收入计提、产业政策等</w:t>
      </w:r>
      <w:r>
        <w:rPr>
          <w:rFonts w:hint="eastAsia" w:ascii="仿宋_GB2312" w:hAnsi="Calibri" w:eastAsia="仿宋_GB2312"/>
          <w:sz w:val="32"/>
          <w:szCs w:val="32"/>
        </w:rPr>
        <w:t>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  <w:t>（三）政府性基金转移支付收支情况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2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02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年政府性基金转移支付</w:t>
      </w:r>
      <w:r>
        <w:rPr>
          <w:rFonts w:hint="eastAsia" w:ascii="仿宋_GB2312" w:hAnsi="Calibri" w:eastAsia="仿宋_GB2312"/>
          <w:sz w:val="32"/>
          <w:szCs w:val="32"/>
        </w:rPr>
        <w:t>总收入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2732.38</w:t>
      </w:r>
      <w:r>
        <w:rPr>
          <w:rFonts w:hint="eastAsia" w:ascii="仿宋_GB2312" w:hAnsi="Calibri" w:eastAsia="仿宋_GB2312"/>
          <w:sz w:val="32"/>
          <w:szCs w:val="32"/>
        </w:rPr>
        <w:t>万元。其中：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202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4年度收入</w:t>
      </w:r>
      <w:r>
        <w:rPr>
          <w:rFonts w:hint="eastAsia" w:ascii="仿宋_GB2312" w:hAnsi="Calibri" w:eastAsia="仿宋_GB2312"/>
          <w:w w:val="90"/>
          <w:sz w:val="32"/>
          <w:szCs w:val="32"/>
          <w:lang w:val="en-US" w:eastAsia="zh-CN"/>
        </w:rPr>
        <w:t>168.81</w:t>
      </w:r>
      <w:r>
        <w:rPr>
          <w:rFonts w:hint="eastAsia" w:ascii="仿宋_GB2312" w:hAnsi="Calibri" w:eastAsia="仿宋_GB2312"/>
          <w:w w:val="90"/>
          <w:sz w:val="32"/>
          <w:szCs w:val="32"/>
          <w:lang w:val="zh-CN"/>
        </w:rPr>
        <w:t>万元，2023年度结转</w:t>
      </w:r>
      <w:r>
        <w:rPr>
          <w:rFonts w:hint="eastAsia" w:ascii="仿宋_GB2312" w:hAnsi="Calibri" w:eastAsia="仿宋_GB2312"/>
          <w:w w:val="90"/>
          <w:sz w:val="32"/>
          <w:szCs w:val="32"/>
        </w:rPr>
        <w:t>2</w:t>
      </w:r>
      <w:r>
        <w:rPr>
          <w:rFonts w:hint="eastAsia" w:ascii="仿宋_GB2312" w:hAnsi="Calibri" w:eastAsia="仿宋_GB2312"/>
          <w:w w:val="90"/>
          <w:sz w:val="32"/>
          <w:szCs w:val="32"/>
          <w:lang w:val="en-US" w:eastAsia="zh-CN"/>
        </w:rPr>
        <w:t>563.57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202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年</w:t>
      </w:r>
      <w:r>
        <w:rPr>
          <w:rFonts w:hint="eastAsia" w:ascii="仿宋_GB2312" w:hAnsi="Calibri" w:eastAsia="仿宋_GB2312"/>
          <w:bCs/>
          <w:sz w:val="32"/>
          <w:szCs w:val="32"/>
          <w:highlight w:val="none"/>
          <w:lang w:val="zh-CN"/>
        </w:rPr>
        <w:t>政府性基金支出</w:t>
      </w:r>
      <w:r>
        <w:rPr>
          <w:rFonts w:hint="eastAsia" w:ascii="仿宋_GB2312" w:hAnsi="Calibri" w:eastAsia="仿宋_GB2312"/>
          <w:bCs/>
          <w:sz w:val="32"/>
          <w:szCs w:val="32"/>
          <w:highlight w:val="none"/>
          <w:lang w:val="en-US" w:eastAsia="zh-CN"/>
        </w:rPr>
        <w:t>1805.87</w:t>
      </w:r>
      <w:r>
        <w:rPr>
          <w:rFonts w:hint="eastAsia" w:ascii="仿宋_GB2312" w:hAnsi="Calibri" w:eastAsia="仿宋_GB2312"/>
          <w:bCs/>
          <w:sz w:val="32"/>
          <w:szCs w:val="32"/>
          <w:highlight w:val="none"/>
          <w:lang w:val="zh-CN"/>
        </w:rPr>
        <w:t>万元，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主要用于：农村基础设施建设、农业农村生态环境、农林水等支出。</w:t>
      </w:r>
      <w:r>
        <w:rPr>
          <w:rFonts w:hint="eastAsia" w:ascii="仿宋_GB2312" w:hAnsi="Calibri" w:eastAsia="仿宋_GB2312"/>
          <w:bCs/>
          <w:sz w:val="32"/>
          <w:szCs w:val="32"/>
          <w:highlight w:val="none"/>
          <w:lang w:val="zh-CN"/>
        </w:rPr>
        <w:t>结转至</w:t>
      </w:r>
      <w:r>
        <w:rPr>
          <w:rFonts w:hint="eastAsia" w:ascii="仿宋_GB2312" w:hAnsi="Calibri" w:eastAsia="仿宋_GB2312"/>
          <w:bCs/>
          <w:sz w:val="32"/>
          <w:szCs w:val="32"/>
          <w:highlight w:val="none"/>
          <w:lang w:val="en-US" w:eastAsia="zh-CN"/>
        </w:rPr>
        <w:t>2025年政府性基金926.51万元</w:t>
      </w:r>
      <w:r>
        <w:rPr>
          <w:rFonts w:hint="eastAsia" w:ascii="仿宋_GB2312" w:hAnsi="Calibri" w:eastAsia="仿宋_GB2312"/>
          <w:bCs/>
          <w:sz w:val="32"/>
          <w:szCs w:val="32"/>
          <w:highlight w:val="none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0" w:afterLines="100" w:line="560" w:lineRule="exact"/>
        <w:jc w:val="center"/>
        <w:textAlignment w:val="auto"/>
      </w:pPr>
      <w:r>
        <w:rPr>
          <w:rFonts w:hint="eastAsia" w:ascii="黑体" w:eastAsia="黑体"/>
          <w:sz w:val="32"/>
          <w:szCs w:val="32"/>
        </w:rPr>
        <w:t>二、202</w:t>
      </w:r>
      <w:r>
        <w:rPr>
          <w:rFonts w:hint="eastAsia" w:ascii="黑体" w:eastAsia="黑体"/>
          <w:sz w:val="32"/>
          <w:szCs w:val="32"/>
          <w:lang w:val="en-US" w:eastAsia="zh-CN"/>
        </w:rPr>
        <w:t>5</w:t>
      </w:r>
      <w:r>
        <w:rPr>
          <w:rFonts w:hint="eastAsia" w:ascii="黑体" w:eastAsia="黑体"/>
          <w:sz w:val="32"/>
          <w:szCs w:val="32"/>
        </w:rPr>
        <w:t>年财政预算草案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sz w:val="32"/>
          <w:szCs w:val="32"/>
          <w:lang w:val="zh-CN"/>
        </w:rPr>
        <w:t>202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年，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</w:rPr>
        <w:t>以习近平新时代中国特色社会主义思想为指导，全面贯彻落实党的二十大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eastAsia="zh-CN"/>
        </w:rPr>
        <w:t>和二十届二中、三中全会精神，按照</w:t>
      </w:r>
      <w:r>
        <w:rPr>
          <w:rFonts w:hint="eastAsia" w:ascii="仿宋_GB2312" w:hAnsi="仿宋" w:eastAsia="仿宋_GB2312"/>
          <w:sz w:val="32"/>
          <w:szCs w:val="32"/>
        </w:rPr>
        <w:t>中央经济工作会议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要求</w:t>
      </w:r>
      <w:r>
        <w:rPr>
          <w:rFonts w:hint="eastAsia" w:ascii="仿宋_GB2312" w:hAnsi="仿宋" w:eastAsia="仿宋_GB2312"/>
          <w:sz w:val="32"/>
          <w:szCs w:val="32"/>
        </w:rPr>
        <w:t>，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紧紧围绕镇党委的决策部署，把党政机关坚持过“紧日子”作为全年财政预算安排总体原则，切实发挥财政资金统筹职能，兜牢“三保”底线要求，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全面做好稳增长、促改革、调结构、惠民生、防风险、保稳定各项工作，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为全镇经济社会持续健康发展提供财力保障。现将202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年财政预算草案报告如下：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30" w:firstLineChars="196"/>
        <w:textAlignment w:val="auto"/>
        <w:rPr>
          <w:rFonts w:ascii="仿宋_GB2312" w:hAnsi="楷体_GB2312" w:eastAsia="仿宋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  <w:t>（一）一般公共预算收入情况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hAnsi="Calibri" w:cs="Times New Roman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年</w:t>
      </w:r>
      <w:r>
        <w:rPr>
          <w:rFonts w:hint="eastAsia" w:hAnsi="Calibri" w:cs="Times New Roman"/>
          <w:kern w:val="2"/>
          <w:sz w:val="32"/>
          <w:szCs w:val="32"/>
          <w:lang w:val="en-US" w:eastAsia="zh-CN" w:bidi="ar-SA"/>
        </w:rPr>
        <w:t>全镇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财政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一般公共预算收入</w:t>
      </w:r>
      <w:r>
        <w:rPr>
          <w:rFonts w:hint="eastAsia" w:hAnsi="Calibri"/>
          <w:sz w:val="32"/>
          <w:szCs w:val="32"/>
          <w:lang w:val="en-US" w:eastAsia="zh-CN"/>
        </w:rPr>
        <w:t>41389.88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</w:t>
      </w:r>
      <w:r>
        <w:rPr>
          <w:rFonts w:hint="eastAsia" w:hAnsi="Calibri"/>
          <w:sz w:val="32"/>
          <w:szCs w:val="32"/>
          <w:lang w:val="zh-CN"/>
        </w:rPr>
        <w:t>。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镇级财政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一般公共预算收入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</w:t>
      </w:r>
      <w:r>
        <w:rPr>
          <w:rFonts w:hint="eastAsia" w:hAnsi="Calibri"/>
          <w:sz w:val="32"/>
          <w:szCs w:val="32"/>
          <w:lang w:val="en-US" w:eastAsia="zh-CN"/>
        </w:rPr>
        <w:t>7062.4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</w:t>
      </w:r>
      <w:r>
        <w:rPr>
          <w:rFonts w:hint="eastAsia" w:hAnsi="Calibri"/>
          <w:sz w:val="32"/>
          <w:szCs w:val="32"/>
          <w:lang w:val="zh-CN"/>
        </w:rPr>
        <w:t>（包含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预算稳定调节基金</w:t>
      </w:r>
      <w:r>
        <w:rPr>
          <w:rFonts w:hint="eastAsia" w:hAnsi="仿宋_GB2312" w:cs="仿宋_GB2312"/>
          <w:sz w:val="32"/>
          <w:szCs w:val="32"/>
          <w:lang w:val="en-US" w:eastAsia="zh-CN"/>
        </w:rPr>
        <w:t>2062.4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万元</w:t>
      </w:r>
      <w:r>
        <w:rPr>
          <w:rFonts w:hint="eastAsia" w:hAnsi="Calibri"/>
          <w:sz w:val="32"/>
          <w:szCs w:val="32"/>
          <w:lang w:val="zh-CN"/>
        </w:rPr>
        <w:t>）</w:t>
      </w:r>
      <w:r>
        <w:rPr>
          <w:rFonts w:hint="eastAsia" w:hAnsi="仿宋_GB2312" w:cs="仿宋_GB2312"/>
          <w:color w:val="000000"/>
          <w:sz w:val="32"/>
          <w:szCs w:val="32"/>
          <w:lang w:val="en-US" w:eastAsia="zh-CN"/>
        </w:rPr>
        <w:t>；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一般公共预算专项转移支付</w:t>
      </w:r>
      <w:r>
        <w:rPr>
          <w:rFonts w:hint="eastAsia" w:ascii="仿宋_GB2312" w:hAnsi="Calibri" w:eastAsia="仿宋_GB2312"/>
          <w:sz w:val="32"/>
          <w:szCs w:val="32"/>
        </w:rPr>
        <w:t>总收入</w:t>
      </w:r>
      <w:r>
        <w:rPr>
          <w:rFonts w:hint="eastAsia" w:hAnsi="Calibri"/>
          <w:sz w:val="32"/>
          <w:szCs w:val="32"/>
          <w:lang w:val="en-US" w:eastAsia="zh-CN"/>
        </w:rPr>
        <w:t>8718.46</w:t>
      </w:r>
      <w:r>
        <w:rPr>
          <w:rFonts w:hint="eastAsia" w:ascii="仿宋_GB2312" w:hAnsi="Calibri" w:eastAsia="仿宋_GB2312"/>
          <w:sz w:val="32"/>
          <w:szCs w:val="32"/>
        </w:rPr>
        <w:t>万元</w:t>
      </w:r>
      <w:r>
        <w:rPr>
          <w:rFonts w:hint="eastAsia" w:hAnsi="Calibri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/>
          <w:sz w:val="32"/>
          <w:szCs w:val="32"/>
        </w:rPr>
        <w:t>其中：202</w:t>
      </w:r>
      <w:r>
        <w:rPr>
          <w:rFonts w:hint="eastAsia" w:hAnsi="Calibri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/>
          <w:sz w:val="32"/>
          <w:szCs w:val="32"/>
        </w:rPr>
        <w:t>年度收入</w:t>
      </w:r>
      <w:r>
        <w:rPr>
          <w:rFonts w:hint="eastAsia" w:hAnsi="Calibri"/>
          <w:sz w:val="32"/>
          <w:szCs w:val="32"/>
          <w:lang w:val="en-US" w:eastAsia="zh-CN"/>
        </w:rPr>
        <w:t>3712.7</w:t>
      </w:r>
      <w:r>
        <w:rPr>
          <w:rFonts w:hint="eastAsia" w:ascii="仿宋_GB2312" w:hAnsi="Calibri" w:eastAsia="仿宋_GB2312"/>
          <w:sz w:val="32"/>
          <w:szCs w:val="32"/>
        </w:rPr>
        <w:t>万元，</w:t>
      </w:r>
      <w:r>
        <w:rPr>
          <w:rFonts w:hint="eastAsia" w:hAnsi="Calibri"/>
          <w:sz w:val="32"/>
          <w:szCs w:val="32"/>
          <w:lang w:val="en-US" w:eastAsia="zh-CN"/>
        </w:rPr>
        <w:t>上</w:t>
      </w:r>
      <w:r>
        <w:rPr>
          <w:rFonts w:hint="eastAsia" w:ascii="仿宋_GB2312" w:hAnsi="Calibri" w:eastAsia="仿宋_GB2312"/>
          <w:sz w:val="32"/>
          <w:szCs w:val="32"/>
        </w:rPr>
        <w:t>年度结转</w:t>
      </w:r>
      <w:r>
        <w:rPr>
          <w:rFonts w:hint="eastAsia" w:hAnsi="Calibri"/>
          <w:sz w:val="32"/>
          <w:szCs w:val="32"/>
          <w:lang w:val="en-US" w:eastAsia="zh-CN"/>
        </w:rPr>
        <w:t>5005.76</w:t>
      </w:r>
      <w:r>
        <w:rPr>
          <w:rFonts w:hint="eastAsia" w:ascii="仿宋_GB2312" w:hAnsi="Calibri" w:eastAsia="仿宋_GB2312"/>
          <w:sz w:val="32"/>
          <w:szCs w:val="32"/>
        </w:rPr>
        <w:t>万元</w:t>
      </w:r>
      <w:r>
        <w:rPr>
          <w:rFonts w:hint="eastAsia" w:hAnsi="Calibri"/>
          <w:sz w:val="32"/>
          <w:szCs w:val="32"/>
          <w:lang w:eastAsia="zh-CN"/>
        </w:rPr>
        <w:t>）；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一般转移支付补充</w:t>
      </w:r>
      <w:r>
        <w:rPr>
          <w:rFonts w:hint="eastAsia" w:hAnsi="Calibri"/>
          <w:sz w:val="32"/>
          <w:szCs w:val="32"/>
          <w:lang w:val="zh-CN"/>
        </w:rPr>
        <w:t>上解支出</w:t>
      </w:r>
      <w:r>
        <w:rPr>
          <w:rFonts w:hint="eastAsia" w:hAnsi="Calibri"/>
          <w:sz w:val="32"/>
          <w:szCs w:val="32"/>
          <w:lang w:val="en-US" w:eastAsia="zh-CN"/>
        </w:rPr>
        <w:t>5609.02万元。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5"/>
        <w:textAlignment w:val="auto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  <w:t>（二）一般公共预算支出情况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年，全镇公共预算支出</w:t>
      </w:r>
      <w:r>
        <w:rPr>
          <w:rFonts w:hint="eastAsia" w:hAnsi="Calibri"/>
          <w:sz w:val="32"/>
          <w:szCs w:val="32"/>
          <w:lang w:val="en-US" w:eastAsia="zh-CN"/>
        </w:rPr>
        <w:t>41389.88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其中镇级一般公共预算支出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</w:t>
      </w:r>
      <w:r>
        <w:rPr>
          <w:rFonts w:hint="eastAsia" w:hAnsi="Calibri"/>
          <w:sz w:val="32"/>
          <w:szCs w:val="32"/>
          <w:lang w:val="en-US" w:eastAsia="zh-CN"/>
        </w:rPr>
        <w:t>7062.4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hAnsi="Calibri"/>
          <w:sz w:val="32"/>
          <w:szCs w:val="32"/>
          <w:lang w:val="zh-CN"/>
        </w:rPr>
        <w:t>（包含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预算稳定调节基金</w:t>
      </w:r>
      <w:r>
        <w:rPr>
          <w:rFonts w:hint="eastAsia" w:hAnsi="仿宋_GB2312" w:cs="仿宋_GB2312"/>
          <w:sz w:val="32"/>
          <w:szCs w:val="32"/>
          <w:lang w:val="en-US" w:eastAsia="zh-CN"/>
        </w:rPr>
        <w:t>2062.4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万元</w:t>
      </w:r>
      <w:r>
        <w:rPr>
          <w:rFonts w:hint="eastAsia" w:hAnsi="Calibri"/>
          <w:sz w:val="32"/>
          <w:szCs w:val="32"/>
          <w:lang w:val="zh-CN"/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一般公共预算专项转移支付</w:t>
      </w:r>
      <w:r>
        <w:rPr>
          <w:rFonts w:hint="eastAsia" w:ascii="仿宋_GB2312" w:hAnsi="Calibri" w:eastAsia="仿宋_GB2312"/>
          <w:sz w:val="32"/>
          <w:szCs w:val="32"/>
        </w:rPr>
        <w:t>总</w:t>
      </w:r>
      <w:r>
        <w:rPr>
          <w:rFonts w:hint="eastAsia" w:hAnsi="Calibri"/>
          <w:sz w:val="32"/>
          <w:szCs w:val="32"/>
          <w:lang w:eastAsia="zh-CN"/>
        </w:rPr>
        <w:t>支出</w:t>
      </w:r>
      <w:r>
        <w:rPr>
          <w:rFonts w:hint="eastAsia" w:hAnsi="Calibri"/>
          <w:sz w:val="32"/>
          <w:szCs w:val="32"/>
          <w:lang w:val="en-US" w:eastAsia="zh-CN"/>
        </w:rPr>
        <w:t>8718.46</w:t>
      </w:r>
      <w:r>
        <w:rPr>
          <w:rFonts w:hint="eastAsia" w:ascii="仿宋_GB2312" w:hAnsi="Calibri" w:eastAsia="仿宋_GB2312"/>
          <w:sz w:val="32"/>
          <w:szCs w:val="32"/>
        </w:rPr>
        <w:t>万元</w:t>
      </w:r>
      <w:r>
        <w:rPr>
          <w:rFonts w:hint="eastAsia" w:hAnsi="Calibri"/>
          <w:sz w:val="32"/>
          <w:szCs w:val="32"/>
          <w:lang w:eastAsia="zh-CN"/>
        </w:rPr>
        <w:t>，</w:t>
      </w:r>
      <w:r>
        <w:rPr>
          <w:rFonts w:hint="eastAsia" w:hAnsi="Calibri"/>
          <w:sz w:val="32"/>
          <w:szCs w:val="32"/>
          <w:lang w:val="zh-CN"/>
        </w:rPr>
        <w:t>上解支出</w:t>
      </w:r>
      <w:r>
        <w:rPr>
          <w:rFonts w:hint="eastAsia" w:hAnsi="Calibri"/>
          <w:sz w:val="32"/>
          <w:szCs w:val="32"/>
          <w:lang w:val="en-US" w:eastAsia="zh-CN"/>
        </w:rPr>
        <w:t>5609.02万元。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30" w:firstLineChars="196"/>
        <w:textAlignment w:val="auto"/>
        <w:rPr>
          <w:rFonts w:ascii="仿宋_GB2312" w:hAnsi="Calibri" w:eastAsia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镇级一般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公共预算支出主要安排如下：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（1）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一般公共服务：</w:t>
      </w:r>
      <w:r>
        <w:rPr>
          <w:rFonts w:hint="eastAsia" w:ascii="仿宋_GB2312" w:hAnsi="Calibri" w:eastAsia="仿宋_GB2312"/>
          <w:sz w:val="32"/>
          <w:szCs w:val="32"/>
        </w:rPr>
        <w:t>预算安排3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662.61</w:t>
      </w:r>
      <w:r>
        <w:rPr>
          <w:rFonts w:hint="eastAsia" w:ascii="仿宋_GB2312" w:hAnsi="Calibri" w:eastAsia="仿宋_GB2312"/>
          <w:sz w:val="32"/>
          <w:szCs w:val="32"/>
        </w:rPr>
        <w:t>万元，占预算支出的1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3.53</w:t>
      </w:r>
      <w:r>
        <w:rPr>
          <w:rFonts w:hint="eastAsia" w:ascii="仿宋_GB2312" w:hAnsi="Calibri" w:eastAsia="仿宋_GB2312"/>
          <w:sz w:val="32"/>
          <w:szCs w:val="32"/>
        </w:rPr>
        <w:t>%。主要用于：人大事务、行政管理、统计信息事务、财政事务、审计事务、纪检监督、群众团体事务、组织事务、宣传事务、统战事务、其他共产党事务、其他一般公共服务等资金。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（2）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教育：</w:t>
      </w:r>
      <w:r>
        <w:rPr>
          <w:rFonts w:hint="eastAsia" w:ascii="仿宋_GB2312" w:hAnsi="Calibri" w:eastAsia="仿宋_GB2312"/>
          <w:sz w:val="32"/>
          <w:szCs w:val="32"/>
        </w:rPr>
        <w:t>预算安排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23.5</w:t>
      </w:r>
      <w:r>
        <w:rPr>
          <w:rFonts w:hint="eastAsia" w:ascii="仿宋_GB2312" w:hAnsi="Calibri" w:eastAsia="仿宋_GB2312"/>
          <w:sz w:val="32"/>
          <w:szCs w:val="32"/>
        </w:rPr>
        <w:t>万元，占预算支出的0.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09</w:t>
      </w:r>
      <w:r>
        <w:rPr>
          <w:rFonts w:hint="eastAsia" w:ascii="仿宋_GB2312" w:hAnsi="Calibri" w:eastAsia="仿宋_GB2312"/>
          <w:sz w:val="32"/>
          <w:szCs w:val="32"/>
        </w:rPr>
        <w:t>%。主要用于：学前教育、成人教育、其他教育等资金。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（3）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科学技术：</w:t>
      </w:r>
      <w:r>
        <w:rPr>
          <w:rFonts w:hint="eastAsia" w:ascii="仿宋_GB2312" w:hAnsi="Calibri" w:eastAsia="仿宋_GB2312"/>
          <w:sz w:val="32"/>
          <w:szCs w:val="32"/>
        </w:rPr>
        <w:t>预算安排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388.61</w:t>
      </w:r>
      <w:r>
        <w:rPr>
          <w:rFonts w:hint="eastAsia" w:ascii="仿宋_GB2312" w:hAnsi="Calibri" w:eastAsia="仿宋_GB2312"/>
          <w:sz w:val="32"/>
          <w:szCs w:val="32"/>
        </w:rPr>
        <w:t>万元，占预算支出的1.4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sz w:val="32"/>
          <w:szCs w:val="32"/>
        </w:rPr>
        <w:t>%。主要用于：科普工作、科技创新等资金。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（4）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文化旅游体育与传媒：</w:t>
      </w:r>
      <w:r>
        <w:rPr>
          <w:rFonts w:hint="eastAsia" w:ascii="仿宋_GB2312" w:hAnsi="Calibri" w:eastAsia="仿宋_GB2312"/>
          <w:sz w:val="32"/>
          <w:szCs w:val="32"/>
        </w:rPr>
        <w:t>预算安排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117.34</w:t>
      </w:r>
      <w:r>
        <w:rPr>
          <w:rFonts w:hint="eastAsia" w:ascii="仿宋_GB2312" w:hAnsi="Calibri" w:eastAsia="仿宋_GB2312"/>
          <w:sz w:val="32"/>
          <w:szCs w:val="32"/>
        </w:rPr>
        <w:t>万元，占预算支出的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0.43</w:t>
      </w:r>
      <w:r>
        <w:rPr>
          <w:rFonts w:hint="eastAsia" w:ascii="仿宋_GB2312" w:hAnsi="Calibri" w:eastAsia="仿宋_GB2312"/>
          <w:sz w:val="32"/>
          <w:szCs w:val="32"/>
        </w:rPr>
        <w:t>%。主要用于：文旅经费、文化中心运维、文化专项经费、体育专项经费、购书经费等资金。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（5）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社会保障和就业：</w:t>
      </w:r>
      <w:r>
        <w:rPr>
          <w:rFonts w:hint="eastAsia" w:ascii="仿宋_GB2312" w:hAnsi="Calibri" w:eastAsia="仿宋_GB2312"/>
          <w:sz w:val="32"/>
          <w:szCs w:val="32"/>
        </w:rPr>
        <w:t>预算安排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9996.09</w:t>
      </w:r>
      <w:r>
        <w:rPr>
          <w:rFonts w:hint="eastAsia" w:ascii="仿宋_GB2312" w:hAnsi="Calibri" w:eastAsia="仿宋_GB2312"/>
          <w:sz w:val="32"/>
          <w:szCs w:val="32"/>
        </w:rPr>
        <w:t>万元，占预算支出的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36.94</w:t>
      </w:r>
      <w:r>
        <w:rPr>
          <w:rFonts w:hint="eastAsia" w:ascii="仿宋_GB2312" w:hAnsi="Calibri" w:eastAsia="仿宋_GB2312"/>
          <w:sz w:val="32"/>
          <w:szCs w:val="32"/>
        </w:rPr>
        <w:t>%。主要用于：民政管理事务、社会保险基金、就业补助、优抚经费、社会福利、残疾人事业、最低生活保障、其他生活救助、其他社会保障等资金。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（6）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卫生健康：</w:t>
      </w:r>
      <w:r>
        <w:rPr>
          <w:rFonts w:hint="eastAsia" w:ascii="仿宋_GB2312" w:hAnsi="Calibri" w:eastAsia="仿宋_GB2312"/>
          <w:sz w:val="32"/>
          <w:szCs w:val="32"/>
        </w:rPr>
        <w:t>预算安排463.35万元，占预算支出的1.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71</w:t>
      </w:r>
      <w:r>
        <w:rPr>
          <w:rFonts w:hint="eastAsia" w:ascii="仿宋_GB2312" w:hAnsi="Calibri" w:eastAsia="仿宋_GB2312"/>
          <w:sz w:val="32"/>
          <w:szCs w:val="32"/>
        </w:rPr>
        <w:t>%。主要用于：公共卫生、计划生育事务、行政事业单位医疗等资金。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（7）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节能环保：</w:t>
      </w:r>
      <w:r>
        <w:rPr>
          <w:rFonts w:hint="eastAsia" w:ascii="仿宋_GB2312" w:hAnsi="Calibri" w:eastAsia="仿宋_GB2312"/>
          <w:sz w:val="32"/>
          <w:szCs w:val="32"/>
        </w:rPr>
        <w:t>预算安排324.25万元，占预算支出的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1.2</w:t>
      </w:r>
      <w:r>
        <w:rPr>
          <w:rFonts w:hint="eastAsia" w:ascii="仿宋_GB2312" w:hAnsi="Calibri" w:eastAsia="仿宋_GB2312"/>
          <w:sz w:val="32"/>
          <w:szCs w:val="32"/>
        </w:rPr>
        <w:t>%。主要用于：环境保护管理事务、自然生态保护、污染减排、其他节能环保等资金。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（8）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城乡社区事务：</w:t>
      </w:r>
      <w:r>
        <w:rPr>
          <w:rFonts w:hint="eastAsia" w:ascii="仿宋_GB2312" w:hAnsi="Calibri" w:eastAsia="仿宋_GB2312"/>
          <w:sz w:val="32"/>
          <w:szCs w:val="32"/>
        </w:rPr>
        <w:t>预算安排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6019.08</w:t>
      </w:r>
      <w:r>
        <w:rPr>
          <w:rFonts w:hint="eastAsia" w:ascii="仿宋_GB2312" w:hAnsi="Calibri" w:eastAsia="仿宋_GB2312"/>
          <w:sz w:val="32"/>
          <w:szCs w:val="32"/>
        </w:rPr>
        <w:t>万元，占预算支出的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22.24</w:t>
      </w:r>
      <w:r>
        <w:rPr>
          <w:rFonts w:hint="eastAsia" w:ascii="仿宋_GB2312" w:hAnsi="Calibri" w:eastAsia="仿宋_GB2312"/>
          <w:sz w:val="32"/>
          <w:szCs w:val="32"/>
        </w:rPr>
        <w:t>%。主要用于：城乡社区管理事务、城乡社区公共设施、其他城乡社区支出等资金。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（9）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农林水事务：</w:t>
      </w:r>
      <w:r>
        <w:rPr>
          <w:rFonts w:hint="eastAsia" w:ascii="仿宋_GB2312" w:hAnsi="Calibri" w:eastAsia="仿宋_GB2312"/>
          <w:sz w:val="32"/>
          <w:szCs w:val="32"/>
        </w:rPr>
        <w:t>预算安排2194.37万元，占预算支出的8.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Calibri" w:eastAsia="仿宋_GB2312"/>
          <w:sz w:val="32"/>
          <w:szCs w:val="32"/>
        </w:rPr>
        <w:t>%。主要用于：农业农村事业、农业经费、林业经费、水利经费、农村综合改革、其他农林水支出等资金。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（10）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其他商业流通事务：</w:t>
      </w:r>
      <w:r>
        <w:rPr>
          <w:rFonts w:hint="eastAsia" w:ascii="仿宋_GB2312" w:hAnsi="Calibri" w:eastAsia="仿宋_GB2312"/>
          <w:sz w:val="32"/>
          <w:szCs w:val="32"/>
        </w:rPr>
        <w:t>预算安排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1000</w:t>
      </w:r>
      <w:r>
        <w:rPr>
          <w:rFonts w:hint="eastAsia" w:ascii="仿宋_GB2312" w:hAnsi="Calibri" w:eastAsia="仿宋_GB2312"/>
          <w:sz w:val="32"/>
          <w:szCs w:val="32"/>
        </w:rPr>
        <w:t>万元，占预算支出的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3.7</w:t>
      </w:r>
      <w:r>
        <w:rPr>
          <w:rFonts w:hint="eastAsia" w:ascii="仿宋_GB2312" w:hAnsi="Calibri" w:eastAsia="仿宋_GB2312"/>
          <w:sz w:val="32"/>
          <w:szCs w:val="32"/>
        </w:rPr>
        <w:t>%。主要用于：经济小区工作经费等资金。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（11）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住房保障：</w:t>
      </w:r>
      <w:r>
        <w:rPr>
          <w:rFonts w:hint="eastAsia" w:ascii="仿宋_GB2312" w:hAnsi="Calibri" w:eastAsia="仿宋_GB2312"/>
          <w:sz w:val="32"/>
          <w:szCs w:val="32"/>
        </w:rPr>
        <w:t>预算安排730.8万元，占预算支出的2.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Calibri" w:eastAsia="仿宋_GB2312"/>
          <w:sz w:val="32"/>
          <w:szCs w:val="32"/>
        </w:rPr>
        <w:t>%。主要用于：住房保障资金。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（12）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预备费：</w:t>
      </w:r>
      <w:r>
        <w:rPr>
          <w:rFonts w:hint="eastAsia" w:ascii="仿宋_GB2312" w:hAnsi="Calibri" w:eastAsia="仿宋_GB2312"/>
          <w:sz w:val="32"/>
          <w:szCs w:val="32"/>
        </w:rPr>
        <w:t>预算安排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80</w:t>
      </w:r>
      <w:r>
        <w:rPr>
          <w:rFonts w:hint="eastAsia" w:ascii="仿宋_GB2312" w:hAnsi="Calibri" w:eastAsia="仿宋_GB2312"/>
          <w:sz w:val="32"/>
          <w:szCs w:val="32"/>
        </w:rPr>
        <w:t>万元，占预算支出的0.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/>
          <w:sz w:val="32"/>
          <w:szCs w:val="32"/>
        </w:rPr>
        <w:t>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lang w:val="en-US" w:eastAsia="zh-CN"/>
        </w:rPr>
        <w:t>（13）</w:t>
      </w:r>
      <w:r>
        <w:rPr>
          <w:rFonts w:hint="eastAsia" w:ascii="仿宋_GB2312" w:hAnsi="Calibri" w:eastAsia="仿宋_GB2312"/>
          <w:b/>
          <w:bCs/>
          <w:sz w:val="32"/>
          <w:szCs w:val="32"/>
          <w:lang w:eastAsia="zh-CN"/>
        </w:rPr>
        <w:t>预算稳定调节基金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：</w:t>
      </w:r>
      <w:r>
        <w:rPr>
          <w:rFonts w:hint="eastAsia" w:ascii="仿宋_GB2312" w:hAnsi="Calibri" w:eastAsia="仿宋_GB2312"/>
          <w:sz w:val="32"/>
          <w:szCs w:val="32"/>
        </w:rPr>
        <w:t>预算安排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2062.4</w:t>
      </w:r>
      <w:r>
        <w:rPr>
          <w:rFonts w:hint="eastAsia" w:ascii="仿宋_GB2312" w:hAnsi="Calibri" w:eastAsia="仿宋_GB2312"/>
          <w:sz w:val="32"/>
          <w:szCs w:val="32"/>
        </w:rPr>
        <w:t>万元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Calibri" w:eastAsia="仿宋_GB2312"/>
          <w:sz w:val="32"/>
          <w:szCs w:val="32"/>
        </w:rPr>
        <w:t>占预算支出的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7.62</w:t>
      </w:r>
      <w:r>
        <w:rPr>
          <w:rFonts w:hint="eastAsia" w:ascii="仿宋_GB2312" w:hAnsi="Calibri" w:eastAsia="仿宋_GB2312"/>
          <w:sz w:val="32"/>
          <w:szCs w:val="32"/>
        </w:rPr>
        <w:t>%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。主要用于促进就业奖励、民政事务、基础建设等。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一般公共预算专项转移支付支出情况如下：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年一般公共预算专项转移支付预算支出安排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8718.46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万元。主要用于：一般公共服务、文化旅游体育与传媒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社会保障和就业、节能环保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城乡社区事务、农林水事务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、资源勘探工业信息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、商业服务业等支出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、粮油物资储备支出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等支出。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Calibri" w:eastAsia="仿宋_GB2312"/>
          <w:b/>
          <w:sz w:val="32"/>
          <w:szCs w:val="32"/>
          <w:highlight w:val="none"/>
          <w:lang w:val="en-US" w:eastAsia="zh-CN"/>
        </w:rPr>
        <w:t>需要说明的是：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我镇将根据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区财政每月下达转移支付通知，同步增加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专项转移支付预算收入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3" w:firstLineChars="200"/>
        <w:jc w:val="left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上解支出情况（区与镇共同承担事项）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Calibri" w:eastAsia="仿宋_GB2312"/>
          <w:sz w:val="32"/>
          <w:szCs w:val="32"/>
          <w:lang w:val="zh-CN"/>
        </w:rPr>
      </w:pP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2025年度我镇上解支出金额为</w:t>
      </w:r>
      <w:r>
        <w:rPr>
          <w:rFonts w:hint="eastAsia" w:ascii="仿宋_GB2312" w:hAnsi="Calibri" w:eastAsia="仿宋_GB2312"/>
          <w:sz w:val="32"/>
          <w:szCs w:val="32"/>
          <w:lang w:val="zh-CN"/>
        </w:rPr>
        <w:t>5609.02万元，主要用于：世界级生态岛养老补贴、城乡居民养老保险基金、老年综合津贴、农村最低生活保障金、农村重残无业人员补助费、城镇居民最低生活保障费、城镇重残无业人员补助、特困人员供养经费、特困供养医疗费、特困供养护理费、元旦春节对部分困难家庭节日临时补助、部分民政对象春节一次性生活补助、因病支出型贫困、支内回沪人员补助、义务兵优待金、政法委等社工薪酬、市场监管局所辖市场监管所经费、城运中心一线督察员工资、终身教育经费、蔬菜产能提升、绿色补贴农药、能源发展工作（农电表箱维保）、妇科普查、体制结算收入计提、计划生育、城乡医疗救助补助、城乡居民基本医疗保险等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（三）政府性基金转移支付收支情况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</w:rPr>
        <w:t>202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Calibri" w:eastAsia="仿宋_GB2312"/>
          <w:b w:val="0"/>
          <w:bCs/>
          <w:sz w:val="32"/>
          <w:szCs w:val="32"/>
          <w:highlight w:val="none"/>
        </w:rPr>
        <w:t>年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政府性基金转移支付预算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收支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安排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926.51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pacing w:beforeLines="100" w:afterLines="100" w:line="560" w:lineRule="exact"/>
        <w:jc w:val="center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三、202</w:t>
      </w:r>
      <w:r>
        <w:rPr>
          <w:rFonts w:hint="eastAsia" w:ascii="黑体" w:eastAsia="黑体"/>
          <w:sz w:val="32"/>
          <w:szCs w:val="32"/>
          <w:lang w:val="en-US" w:eastAsia="zh-CN"/>
        </w:rPr>
        <w:t>5</w:t>
      </w:r>
      <w:r>
        <w:rPr>
          <w:rFonts w:hint="eastAsia" w:ascii="黑体" w:eastAsia="黑体"/>
          <w:sz w:val="32"/>
          <w:szCs w:val="32"/>
        </w:rPr>
        <w:t>年财政重点工作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根据区财政工作相关要求，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</w:rPr>
        <w:t>镇财政工作在依法依规抓好预决算管理、国库管理、会计管理、绩效管理等基础上，紧紧围绕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决策</w:t>
      </w:r>
      <w:r>
        <w:rPr>
          <w:rFonts w:hint="eastAsia" w:ascii="仿宋_GB2312" w:hAnsi="仿宋_GB2312" w:eastAsia="仿宋_GB2312" w:cs="仿宋_GB2312"/>
          <w:sz w:val="32"/>
          <w:szCs w:val="32"/>
        </w:rPr>
        <w:t>部署，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强化财政资金资源统筹，不断提升财政管理质效，加强各类资金监管，积极防范化解财政运行风险，持续推动经济高质量发展。</w:t>
      </w:r>
      <w:r>
        <w:rPr>
          <w:rFonts w:hint="eastAsia" w:ascii="仿宋_GB2312" w:hAnsi="仿宋_GB2312" w:eastAsia="仿宋_GB2312" w:cs="仿宋_GB2312"/>
          <w:sz w:val="32"/>
          <w:szCs w:val="32"/>
        </w:rPr>
        <w:t>着力抓好以下三个方面工作：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着眼</w:t>
      </w:r>
      <w:r>
        <w:rPr>
          <w:rFonts w:hint="eastAsia" w:ascii="仿宋_GB2312" w:hAnsi="仿宋_GB2312" w:eastAsia="仿宋_GB2312" w:cs="宋体"/>
          <w:b/>
          <w:bCs/>
          <w:color w:val="000000"/>
          <w:kern w:val="0"/>
          <w:sz w:val="32"/>
          <w:szCs w:val="32"/>
          <w:lang w:val="zh-CN" w:eastAsia="zh-CN"/>
        </w:rPr>
        <w:t>开源节流，保障财政收支平稳运行。一是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坚持精准高效稳发展，</w:t>
      </w:r>
      <w:r>
        <w:rPr>
          <w:rFonts w:hint="eastAsia" w:ascii="仿宋_GB2312" w:hAnsi="仿宋_GB2312" w:eastAsia="仿宋_GB2312" w:cs="仿宋_GB2312"/>
          <w:sz w:val="32"/>
          <w:szCs w:val="32"/>
        </w:rPr>
        <w:t>围绕“稳增长”工作要求，聚焦稳收增收，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sz w:val="32"/>
          <w:szCs w:val="32"/>
        </w:rPr>
        <w:t>续优化营商环境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，精准施策、提质增效，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区级机关下发新的企业扶持政策和招商机构管理办法的工作要求，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充分释放政策效能，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构建产业发</w:t>
      </w:r>
      <w:r>
        <w:rPr>
          <w:rFonts w:hint="eastAsia" w:ascii="仿宋_GB2312" w:hAnsi="仿宋_GB2312" w:eastAsia="仿宋_GB2312" w:cs="仿宋_GB2312"/>
          <w:sz w:val="32"/>
          <w:szCs w:val="32"/>
        </w:rPr>
        <w:t>展新路径，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全力护航企业稳步发展。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拓展新的招商渠道，发掘不同领域和不同类型企业的新资源，多措并举稳存量、拓增量，打好安商稳商组合拳，为经济增长提供强力支撑。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宋体"/>
          <w:kern w:val="0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宋体"/>
          <w:b/>
          <w:bCs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宋体"/>
          <w:b/>
          <w:bCs/>
          <w:color w:val="000000"/>
          <w:kern w:val="0"/>
          <w:sz w:val="32"/>
          <w:szCs w:val="32"/>
          <w:lang w:val="zh-CN" w:eastAsia="zh-CN"/>
        </w:rPr>
        <w:t>着重统筹兜底，提高财政保障力度。一是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坚持精打细算、勤俭节约，把严把紧预算支出关口，按照《本区党政机关和事业单位习惯过紧日子鼓励清单》要求，节约用水、用电，办公打印用纸；精简压缩各类会议、培训、调研、考察；强化同类活动统筹整合，减少提供文件袋、笔记本、笔等文具用品，努力降低行政运行成本，不断完善过“紧日子”的制度体系。</w:t>
      </w:r>
      <w:r>
        <w:rPr>
          <w:rFonts w:hint="eastAsia" w:ascii="仿宋_GB2312" w:hAnsi="仿宋_GB2312" w:eastAsia="仿宋_GB2312" w:cs="宋体"/>
          <w:b/>
          <w:bCs/>
          <w:color w:val="000000"/>
          <w:kern w:val="0"/>
          <w:sz w:val="32"/>
          <w:szCs w:val="32"/>
          <w:lang w:val="zh-CN" w:eastAsia="zh-CN"/>
        </w:rPr>
        <w:t>二是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lang w:val="zh-CN" w:eastAsia="zh-CN"/>
        </w:rPr>
        <w:t>坚决兜紧兜牢“三保”底线，不留硬缺口，聚焦重点领域支出，集中财力支持基础性、兜底性民生建设，统筹预算安排社会事业发展资金，促进项目需求与财力精准匹配，从严控制预算追加，硬化预算约束，抓重点、办实事。</w:t>
      </w:r>
      <w:r>
        <w:rPr>
          <w:rFonts w:hint="eastAsia" w:ascii="仿宋_GB2312" w:hAnsi="仿宋_GB2312" w:eastAsia="仿宋_GB2312" w:cs="宋体"/>
          <w:b/>
          <w:bCs/>
          <w:color w:val="000000"/>
          <w:kern w:val="0"/>
          <w:sz w:val="32"/>
          <w:szCs w:val="32"/>
          <w:lang w:val="zh-CN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坚持以人民为中心的发展思想，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lang w:val="zh-CN" w:eastAsia="zh-CN"/>
        </w:rPr>
        <w:t>完善预算监管机制，加强财政金融风险管控，守底线、抓内控，坚决遏制隐性债务。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宋体"/>
          <w:kern w:val="0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宋体"/>
          <w:b/>
          <w:bCs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宋体"/>
          <w:b/>
          <w:bCs/>
          <w:color w:val="000000"/>
          <w:kern w:val="0"/>
          <w:sz w:val="32"/>
          <w:szCs w:val="32"/>
          <w:lang w:val="zh-CN" w:eastAsia="zh-CN"/>
        </w:rPr>
        <w:t>着力绩效管理，提升财政管理水平。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牢固树立成本效益理念，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“预算申请问成本、预算安排核成本、预算执行控成本、预算完成评成本”的成本预算绩效管理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改革思路，全面设置成本指标，深化结果运用，不断提升财政管理效率和水平。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进一步加强财政科学化精细化管理，充分发挥财政监督职能作用，推进财政监督、预算绩效与预算绩效成本管理的有机结合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</w:t>
      </w:r>
      <w:r>
        <w:rPr>
          <w:rFonts w:hint="eastAsia" w:ascii="仿宋_GB2312" w:hAnsi="仿宋_GB2312" w:eastAsia="仿宋_GB2312" w:cs="仿宋_GB2312"/>
          <w:sz w:val="32"/>
          <w:szCs w:val="32"/>
        </w:rPr>
        <w:t>夯实预算绩效管理工作基础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</w:t>
      </w:r>
      <w:r>
        <w:rPr>
          <w:rFonts w:hint="eastAsia" w:ascii="仿宋_GB2312" w:hAnsi="仿宋_GB2312" w:eastAsia="仿宋_GB2312" w:cs="仿宋_GB2312"/>
          <w:sz w:val="32"/>
          <w:szCs w:val="32"/>
        </w:rPr>
        <w:t>，将成本效益分析方法运用到预算管理全过程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</w:rPr>
        <w:t>强化各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</w:t>
      </w:r>
      <w:r>
        <w:rPr>
          <w:rFonts w:hint="eastAsia" w:ascii="仿宋_GB2312" w:hAnsi="仿宋_GB2312" w:eastAsia="仿宋_GB2312" w:cs="仿宋_GB2312"/>
          <w:sz w:val="32"/>
          <w:szCs w:val="32"/>
        </w:rPr>
        <w:t>内控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加强党政机关和事业单位购买第三方服务管理，锁定购买服务存量项目清单，强化质量把关和考核机制，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实现降本、增效、优化管理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提高服务质量和资金使用效益。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ascii="仿宋_GB2312" w:hAnsi="Calibri" w:eastAsia="仿宋_GB2312"/>
          <w:color w:val="000000"/>
          <w:sz w:val="30"/>
          <w:szCs w:val="30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代表们，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在镇党委的坚强领导下，在镇人大的监督支持下，镇财政将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坚持依法理财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坚持主动作为，坚持科学调度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奋楫争先，全力做好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2025年财政预算安排和执行工作，为我镇“高质量推进新时期乡村振兴”贡献力量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ongti SC">
    <w:altName w:val="汉仪书宋二S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汉仪书宋二S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ind w:firstLine="360"/>
                            <w:rPr>
                              <w:rStyle w:val="12"/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2"/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2"/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Style w:val="12"/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M6pebnPAAAABQEAAA8AAAAAAAAA&#10;AQAgAAAAOAAAAGRycy9kb3ducmV2LnhtbFBLAQIUABQAAAAIAIdO4kC0Q131ywEAAJwDAAAOAAAA&#10;AAAAAAEAIAAAADQ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firstLine="360"/>
                      <w:rPr>
                        <w:rStyle w:val="12"/>
                        <w:rFonts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Style w:val="12"/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2"/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2"/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2"/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- 1 -</w:t>
                    </w:r>
                    <w:r>
                      <w:rPr>
                        <w:rStyle w:val="12"/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ind w:firstLine="4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ind w:firstLine="360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7"/>
      <w:ind w:firstLine="360"/>
    </w:pPr>
  </w:p>
  <w:p>
    <w:pPr>
      <w:ind w:firstLine="42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916A9E"/>
    <w:multiLevelType w:val="singleLevel"/>
    <w:tmpl w:val="55916A9E"/>
    <w:lvl w:ilvl="0" w:tentative="0">
      <w:start w:val="1"/>
      <w:numFmt w:val="decimal"/>
      <w:suff w:val="nothing"/>
      <w:lvlText w:val="（%1）"/>
      <w:lvlJc w:val="left"/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1OTdjMzBmOGZmMDYxNDVhMjQxOTZjMDRmOTY2YjUifQ=="/>
  </w:docVars>
  <w:rsids>
    <w:rsidRoot w:val="00A41390"/>
    <w:rsid w:val="00004C3C"/>
    <w:rsid w:val="000063B2"/>
    <w:rsid w:val="000100FD"/>
    <w:rsid w:val="000123D9"/>
    <w:rsid w:val="000165BC"/>
    <w:rsid w:val="000312C9"/>
    <w:rsid w:val="00040FC3"/>
    <w:rsid w:val="00044FE8"/>
    <w:rsid w:val="000518A4"/>
    <w:rsid w:val="00051D23"/>
    <w:rsid w:val="00053203"/>
    <w:rsid w:val="00056D50"/>
    <w:rsid w:val="00062117"/>
    <w:rsid w:val="000657D3"/>
    <w:rsid w:val="000727F0"/>
    <w:rsid w:val="00073117"/>
    <w:rsid w:val="00076F31"/>
    <w:rsid w:val="00080820"/>
    <w:rsid w:val="00083D35"/>
    <w:rsid w:val="000860C1"/>
    <w:rsid w:val="00086F18"/>
    <w:rsid w:val="000A58D8"/>
    <w:rsid w:val="000B736A"/>
    <w:rsid w:val="000C1D72"/>
    <w:rsid w:val="000C4E11"/>
    <w:rsid w:val="000D0522"/>
    <w:rsid w:val="000D420C"/>
    <w:rsid w:val="000D4B37"/>
    <w:rsid w:val="000E1087"/>
    <w:rsid w:val="000F6CCA"/>
    <w:rsid w:val="001011E1"/>
    <w:rsid w:val="00103520"/>
    <w:rsid w:val="00103971"/>
    <w:rsid w:val="00121F9C"/>
    <w:rsid w:val="00126742"/>
    <w:rsid w:val="00126F8E"/>
    <w:rsid w:val="001311F7"/>
    <w:rsid w:val="00132E5B"/>
    <w:rsid w:val="00145241"/>
    <w:rsid w:val="00150615"/>
    <w:rsid w:val="00166089"/>
    <w:rsid w:val="001745AD"/>
    <w:rsid w:val="00182FD5"/>
    <w:rsid w:val="00185BD8"/>
    <w:rsid w:val="0019322D"/>
    <w:rsid w:val="001A504E"/>
    <w:rsid w:val="001B3120"/>
    <w:rsid w:val="001C2D21"/>
    <w:rsid w:val="001C37F1"/>
    <w:rsid w:val="001C44E6"/>
    <w:rsid w:val="001C6C24"/>
    <w:rsid w:val="001E7DC1"/>
    <w:rsid w:val="001F0145"/>
    <w:rsid w:val="001F4F27"/>
    <w:rsid w:val="002002B9"/>
    <w:rsid w:val="00211143"/>
    <w:rsid w:val="00212CE8"/>
    <w:rsid w:val="00220604"/>
    <w:rsid w:val="00220FBE"/>
    <w:rsid w:val="002241D3"/>
    <w:rsid w:val="002321C7"/>
    <w:rsid w:val="002450EC"/>
    <w:rsid w:val="002539FD"/>
    <w:rsid w:val="002609B2"/>
    <w:rsid w:val="00262076"/>
    <w:rsid w:val="00264804"/>
    <w:rsid w:val="00277D52"/>
    <w:rsid w:val="00293CD4"/>
    <w:rsid w:val="00294F89"/>
    <w:rsid w:val="00297893"/>
    <w:rsid w:val="002B0BE9"/>
    <w:rsid w:val="002B60D5"/>
    <w:rsid w:val="002C12E8"/>
    <w:rsid w:val="002D0ADC"/>
    <w:rsid w:val="002D2B82"/>
    <w:rsid w:val="002D50A1"/>
    <w:rsid w:val="002D5EA2"/>
    <w:rsid w:val="002D6FEA"/>
    <w:rsid w:val="002F2CF3"/>
    <w:rsid w:val="002F2E01"/>
    <w:rsid w:val="003039D2"/>
    <w:rsid w:val="00305129"/>
    <w:rsid w:val="003070B2"/>
    <w:rsid w:val="003248AD"/>
    <w:rsid w:val="003267E1"/>
    <w:rsid w:val="003322F4"/>
    <w:rsid w:val="0034121F"/>
    <w:rsid w:val="00350977"/>
    <w:rsid w:val="00350F9B"/>
    <w:rsid w:val="0035492B"/>
    <w:rsid w:val="003554E9"/>
    <w:rsid w:val="00364147"/>
    <w:rsid w:val="00364DB4"/>
    <w:rsid w:val="00374446"/>
    <w:rsid w:val="003B6459"/>
    <w:rsid w:val="003C229E"/>
    <w:rsid w:val="003D7C57"/>
    <w:rsid w:val="003F1ABE"/>
    <w:rsid w:val="003F2D1F"/>
    <w:rsid w:val="003F36B0"/>
    <w:rsid w:val="003F3A93"/>
    <w:rsid w:val="003F4DE7"/>
    <w:rsid w:val="004135D6"/>
    <w:rsid w:val="004137E9"/>
    <w:rsid w:val="0041457B"/>
    <w:rsid w:val="00415516"/>
    <w:rsid w:val="00416E4B"/>
    <w:rsid w:val="004244A6"/>
    <w:rsid w:val="00427676"/>
    <w:rsid w:val="00437581"/>
    <w:rsid w:val="0044235B"/>
    <w:rsid w:val="0044655A"/>
    <w:rsid w:val="00446B29"/>
    <w:rsid w:val="004670B5"/>
    <w:rsid w:val="0048374A"/>
    <w:rsid w:val="00495413"/>
    <w:rsid w:val="0049669E"/>
    <w:rsid w:val="004A59C6"/>
    <w:rsid w:val="004A67F9"/>
    <w:rsid w:val="004B1716"/>
    <w:rsid w:val="004B23A4"/>
    <w:rsid w:val="004D1D85"/>
    <w:rsid w:val="004D3A75"/>
    <w:rsid w:val="004E1289"/>
    <w:rsid w:val="004E1ADA"/>
    <w:rsid w:val="004F0118"/>
    <w:rsid w:val="004F185F"/>
    <w:rsid w:val="004F5CC3"/>
    <w:rsid w:val="00501124"/>
    <w:rsid w:val="00503AB5"/>
    <w:rsid w:val="005156F0"/>
    <w:rsid w:val="0052080A"/>
    <w:rsid w:val="0052796D"/>
    <w:rsid w:val="00542F26"/>
    <w:rsid w:val="00544287"/>
    <w:rsid w:val="00550195"/>
    <w:rsid w:val="00550A93"/>
    <w:rsid w:val="00552CEA"/>
    <w:rsid w:val="005778B1"/>
    <w:rsid w:val="00580C08"/>
    <w:rsid w:val="0059199C"/>
    <w:rsid w:val="005963BA"/>
    <w:rsid w:val="005A3698"/>
    <w:rsid w:val="005A616D"/>
    <w:rsid w:val="005C3E13"/>
    <w:rsid w:val="005F3511"/>
    <w:rsid w:val="00604A00"/>
    <w:rsid w:val="00605FEC"/>
    <w:rsid w:val="00613920"/>
    <w:rsid w:val="00620F92"/>
    <w:rsid w:val="00622A0B"/>
    <w:rsid w:val="00625F20"/>
    <w:rsid w:val="00630F5D"/>
    <w:rsid w:val="006344BE"/>
    <w:rsid w:val="006465AB"/>
    <w:rsid w:val="00647115"/>
    <w:rsid w:val="00655AF1"/>
    <w:rsid w:val="006565C5"/>
    <w:rsid w:val="00656B2A"/>
    <w:rsid w:val="00681DD6"/>
    <w:rsid w:val="006870DC"/>
    <w:rsid w:val="00690A6B"/>
    <w:rsid w:val="006940B0"/>
    <w:rsid w:val="00695059"/>
    <w:rsid w:val="00695EAD"/>
    <w:rsid w:val="006A156A"/>
    <w:rsid w:val="006A4839"/>
    <w:rsid w:val="006B22EA"/>
    <w:rsid w:val="006C1B07"/>
    <w:rsid w:val="006C4B3E"/>
    <w:rsid w:val="006C55A5"/>
    <w:rsid w:val="006C6D5A"/>
    <w:rsid w:val="006C7D3E"/>
    <w:rsid w:val="006D71F2"/>
    <w:rsid w:val="006E037C"/>
    <w:rsid w:val="006E24D3"/>
    <w:rsid w:val="006E2878"/>
    <w:rsid w:val="006F1573"/>
    <w:rsid w:val="006F615E"/>
    <w:rsid w:val="00704050"/>
    <w:rsid w:val="007076E2"/>
    <w:rsid w:val="00714649"/>
    <w:rsid w:val="0071657D"/>
    <w:rsid w:val="00726483"/>
    <w:rsid w:val="0074496B"/>
    <w:rsid w:val="007479C5"/>
    <w:rsid w:val="007534C0"/>
    <w:rsid w:val="007550B5"/>
    <w:rsid w:val="007556BE"/>
    <w:rsid w:val="00771864"/>
    <w:rsid w:val="0077321F"/>
    <w:rsid w:val="00783B51"/>
    <w:rsid w:val="007900E9"/>
    <w:rsid w:val="007A56D5"/>
    <w:rsid w:val="007B0512"/>
    <w:rsid w:val="007C13DE"/>
    <w:rsid w:val="007C79B4"/>
    <w:rsid w:val="007D071E"/>
    <w:rsid w:val="007D26B4"/>
    <w:rsid w:val="007D3F30"/>
    <w:rsid w:val="007E63A0"/>
    <w:rsid w:val="007E697F"/>
    <w:rsid w:val="007F08EB"/>
    <w:rsid w:val="007F428B"/>
    <w:rsid w:val="00801619"/>
    <w:rsid w:val="008024F7"/>
    <w:rsid w:val="00803D3B"/>
    <w:rsid w:val="0083587E"/>
    <w:rsid w:val="00847C41"/>
    <w:rsid w:val="00855B18"/>
    <w:rsid w:val="0085715F"/>
    <w:rsid w:val="008637E0"/>
    <w:rsid w:val="00864AD7"/>
    <w:rsid w:val="0086603F"/>
    <w:rsid w:val="0087013E"/>
    <w:rsid w:val="008710CC"/>
    <w:rsid w:val="00872A8A"/>
    <w:rsid w:val="00873BE2"/>
    <w:rsid w:val="008764AF"/>
    <w:rsid w:val="00883B68"/>
    <w:rsid w:val="00885B4C"/>
    <w:rsid w:val="008967C0"/>
    <w:rsid w:val="008A2357"/>
    <w:rsid w:val="008B2817"/>
    <w:rsid w:val="008B3D4F"/>
    <w:rsid w:val="008C2A0E"/>
    <w:rsid w:val="008C389F"/>
    <w:rsid w:val="008D0681"/>
    <w:rsid w:val="008D23BF"/>
    <w:rsid w:val="008D2EFD"/>
    <w:rsid w:val="008E07B8"/>
    <w:rsid w:val="008E10CA"/>
    <w:rsid w:val="008E34EC"/>
    <w:rsid w:val="008E5504"/>
    <w:rsid w:val="008F3D08"/>
    <w:rsid w:val="009020E7"/>
    <w:rsid w:val="00905D15"/>
    <w:rsid w:val="00906C79"/>
    <w:rsid w:val="00910DEC"/>
    <w:rsid w:val="009129FC"/>
    <w:rsid w:val="009135BA"/>
    <w:rsid w:val="009138C0"/>
    <w:rsid w:val="00914296"/>
    <w:rsid w:val="00920E1F"/>
    <w:rsid w:val="0092389F"/>
    <w:rsid w:val="00924942"/>
    <w:rsid w:val="00924D35"/>
    <w:rsid w:val="009259D3"/>
    <w:rsid w:val="00927F08"/>
    <w:rsid w:val="009418C6"/>
    <w:rsid w:val="00941E24"/>
    <w:rsid w:val="00946EB5"/>
    <w:rsid w:val="00956F0F"/>
    <w:rsid w:val="009577DB"/>
    <w:rsid w:val="00957F8C"/>
    <w:rsid w:val="0096554B"/>
    <w:rsid w:val="00970727"/>
    <w:rsid w:val="00971D79"/>
    <w:rsid w:val="00975A90"/>
    <w:rsid w:val="009921C5"/>
    <w:rsid w:val="009A2FDF"/>
    <w:rsid w:val="009A3F3F"/>
    <w:rsid w:val="009B3845"/>
    <w:rsid w:val="009B3EB2"/>
    <w:rsid w:val="009C0C73"/>
    <w:rsid w:val="009C0EAF"/>
    <w:rsid w:val="009D4842"/>
    <w:rsid w:val="009E4F4B"/>
    <w:rsid w:val="009F2AD3"/>
    <w:rsid w:val="009F3E41"/>
    <w:rsid w:val="00A04271"/>
    <w:rsid w:val="00A17B96"/>
    <w:rsid w:val="00A2278B"/>
    <w:rsid w:val="00A24640"/>
    <w:rsid w:val="00A32422"/>
    <w:rsid w:val="00A32A60"/>
    <w:rsid w:val="00A41390"/>
    <w:rsid w:val="00A45847"/>
    <w:rsid w:val="00A55EA4"/>
    <w:rsid w:val="00A56CF6"/>
    <w:rsid w:val="00A678B8"/>
    <w:rsid w:val="00A8000A"/>
    <w:rsid w:val="00A9208E"/>
    <w:rsid w:val="00A943D1"/>
    <w:rsid w:val="00AA2766"/>
    <w:rsid w:val="00AA3F6E"/>
    <w:rsid w:val="00AB2000"/>
    <w:rsid w:val="00AC2B27"/>
    <w:rsid w:val="00AC4ACA"/>
    <w:rsid w:val="00AE4507"/>
    <w:rsid w:val="00AF1EB3"/>
    <w:rsid w:val="00AF27A8"/>
    <w:rsid w:val="00AF2C79"/>
    <w:rsid w:val="00AF7404"/>
    <w:rsid w:val="00AF7C47"/>
    <w:rsid w:val="00B0667A"/>
    <w:rsid w:val="00B07FAB"/>
    <w:rsid w:val="00B10F70"/>
    <w:rsid w:val="00B12CDF"/>
    <w:rsid w:val="00B1391A"/>
    <w:rsid w:val="00B13B87"/>
    <w:rsid w:val="00B26350"/>
    <w:rsid w:val="00B346E7"/>
    <w:rsid w:val="00B362FA"/>
    <w:rsid w:val="00B4689E"/>
    <w:rsid w:val="00B553F7"/>
    <w:rsid w:val="00B62866"/>
    <w:rsid w:val="00B673D4"/>
    <w:rsid w:val="00B70D0E"/>
    <w:rsid w:val="00B710C7"/>
    <w:rsid w:val="00B80B7A"/>
    <w:rsid w:val="00B86F60"/>
    <w:rsid w:val="00B9051D"/>
    <w:rsid w:val="00B9567F"/>
    <w:rsid w:val="00B970E7"/>
    <w:rsid w:val="00BB229F"/>
    <w:rsid w:val="00BB2E90"/>
    <w:rsid w:val="00BC045B"/>
    <w:rsid w:val="00BC31A9"/>
    <w:rsid w:val="00BC3626"/>
    <w:rsid w:val="00BC53C5"/>
    <w:rsid w:val="00BE7B11"/>
    <w:rsid w:val="00BF6883"/>
    <w:rsid w:val="00C0281D"/>
    <w:rsid w:val="00C11F09"/>
    <w:rsid w:val="00C237A3"/>
    <w:rsid w:val="00C45511"/>
    <w:rsid w:val="00C50FE7"/>
    <w:rsid w:val="00C5507F"/>
    <w:rsid w:val="00C73323"/>
    <w:rsid w:val="00C73699"/>
    <w:rsid w:val="00C76755"/>
    <w:rsid w:val="00C943BF"/>
    <w:rsid w:val="00C976EC"/>
    <w:rsid w:val="00CA0E8A"/>
    <w:rsid w:val="00CA1494"/>
    <w:rsid w:val="00CA19C8"/>
    <w:rsid w:val="00CA4D15"/>
    <w:rsid w:val="00CA5201"/>
    <w:rsid w:val="00CA5FD4"/>
    <w:rsid w:val="00CB2D28"/>
    <w:rsid w:val="00CC1CF6"/>
    <w:rsid w:val="00CD1648"/>
    <w:rsid w:val="00CD3DDE"/>
    <w:rsid w:val="00CD7176"/>
    <w:rsid w:val="00CE2284"/>
    <w:rsid w:val="00CE3C9A"/>
    <w:rsid w:val="00CE5C55"/>
    <w:rsid w:val="00CE7703"/>
    <w:rsid w:val="00CE7967"/>
    <w:rsid w:val="00CF10F4"/>
    <w:rsid w:val="00CF2D87"/>
    <w:rsid w:val="00D00BC8"/>
    <w:rsid w:val="00D07A34"/>
    <w:rsid w:val="00D237EF"/>
    <w:rsid w:val="00D26AB3"/>
    <w:rsid w:val="00D26B48"/>
    <w:rsid w:val="00D273EC"/>
    <w:rsid w:val="00D276AC"/>
    <w:rsid w:val="00D34E4E"/>
    <w:rsid w:val="00D42239"/>
    <w:rsid w:val="00D43A14"/>
    <w:rsid w:val="00D444EA"/>
    <w:rsid w:val="00D4517B"/>
    <w:rsid w:val="00D463C9"/>
    <w:rsid w:val="00D5396F"/>
    <w:rsid w:val="00D551D5"/>
    <w:rsid w:val="00D6103F"/>
    <w:rsid w:val="00D641AB"/>
    <w:rsid w:val="00D750DB"/>
    <w:rsid w:val="00D7694C"/>
    <w:rsid w:val="00D8255C"/>
    <w:rsid w:val="00D96DB0"/>
    <w:rsid w:val="00DA33FD"/>
    <w:rsid w:val="00DA69D5"/>
    <w:rsid w:val="00DC1078"/>
    <w:rsid w:val="00DC2BA4"/>
    <w:rsid w:val="00DC2CDA"/>
    <w:rsid w:val="00DC2D2B"/>
    <w:rsid w:val="00DC386F"/>
    <w:rsid w:val="00DD39FE"/>
    <w:rsid w:val="00DE472D"/>
    <w:rsid w:val="00DF0420"/>
    <w:rsid w:val="00DF3897"/>
    <w:rsid w:val="00E0776E"/>
    <w:rsid w:val="00E10570"/>
    <w:rsid w:val="00E14615"/>
    <w:rsid w:val="00E4023F"/>
    <w:rsid w:val="00E434B4"/>
    <w:rsid w:val="00E52393"/>
    <w:rsid w:val="00E528A6"/>
    <w:rsid w:val="00E614B6"/>
    <w:rsid w:val="00E67BE7"/>
    <w:rsid w:val="00E7637B"/>
    <w:rsid w:val="00E84AC1"/>
    <w:rsid w:val="00EB2B6B"/>
    <w:rsid w:val="00EC1193"/>
    <w:rsid w:val="00ED0FBC"/>
    <w:rsid w:val="00EE2F2A"/>
    <w:rsid w:val="00EF00AB"/>
    <w:rsid w:val="00EF04DE"/>
    <w:rsid w:val="00EF1EE9"/>
    <w:rsid w:val="00F00F94"/>
    <w:rsid w:val="00F04E33"/>
    <w:rsid w:val="00F058C2"/>
    <w:rsid w:val="00F133E6"/>
    <w:rsid w:val="00F21DAA"/>
    <w:rsid w:val="00F24064"/>
    <w:rsid w:val="00F26803"/>
    <w:rsid w:val="00F35630"/>
    <w:rsid w:val="00F655D8"/>
    <w:rsid w:val="00F77369"/>
    <w:rsid w:val="00F83AD3"/>
    <w:rsid w:val="00F847A4"/>
    <w:rsid w:val="00F86B33"/>
    <w:rsid w:val="00F86E97"/>
    <w:rsid w:val="00F94FAA"/>
    <w:rsid w:val="00FA4806"/>
    <w:rsid w:val="00FA634F"/>
    <w:rsid w:val="00FB046C"/>
    <w:rsid w:val="00FC6C10"/>
    <w:rsid w:val="00FD1066"/>
    <w:rsid w:val="00FD15D4"/>
    <w:rsid w:val="00FD2254"/>
    <w:rsid w:val="00FD659E"/>
    <w:rsid w:val="00FE3C43"/>
    <w:rsid w:val="00FE4208"/>
    <w:rsid w:val="00FE4EFF"/>
    <w:rsid w:val="00FE7445"/>
    <w:rsid w:val="00FF2D47"/>
    <w:rsid w:val="00FF619F"/>
    <w:rsid w:val="01B83DC8"/>
    <w:rsid w:val="01C0309B"/>
    <w:rsid w:val="02333497"/>
    <w:rsid w:val="027B3673"/>
    <w:rsid w:val="03702025"/>
    <w:rsid w:val="0505391A"/>
    <w:rsid w:val="08944C73"/>
    <w:rsid w:val="08DD2D83"/>
    <w:rsid w:val="094270F2"/>
    <w:rsid w:val="09A53AD2"/>
    <w:rsid w:val="09D5092A"/>
    <w:rsid w:val="0BA79E03"/>
    <w:rsid w:val="0CDD3D4A"/>
    <w:rsid w:val="0D7F1CC9"/>
    <w:rsid w:val="118F4280"/>
    <w:rsid w:val="121132C2"/>
    <w:rsid w:val="12FE54D7"/>
    <w:rsid w:val="134478B1"/>
    <w:rsid w:val="13BD743A"/>
    <w:rsid w:val="14706175"/>
    <w:rsid w:val="14C853F7"/>
    <w:rsid w:val="1AB97EFC"/>
    <w:rsid w:val="1ADF2CDA"/>
    <w:rsid w:val="1C7D0370"/>
    <w:rsid w:val="1DF31942"/>
    <w:rsid w:val="1E3C2398"/>
    <w:rsid w:val="1E8627B0"/>
    <w:rsid w:val="1E994469"/>
    <w:rsid w:val="1EA84440"/>
    <w:rsid w:val="1F955BE1"/>
    <w:rsid w:val="20203320"/>
    <w:rsid w:val="211E3D0A"/>
    <w:rsid w:val="21B274E6"/>
    <w:rsid w:val="21D669C4"/>
    <w:rsid w:val="24713266"/>
    <w:rsid w:val="260D7DA0"/>
    <w:rsid w:val="26B06F5F"/>
    <w:rsid w:val="296F791F"/>
    <w:rsid w:val="2BFE4478"/>
    <w:rsid w:val="2CBF482B"/>
    <w:rsid w:val="2CDD06C2"/>
    <w:rsid w:val="2DF210CD"/>
    <w:rsid w:val="2F4B2BE2"/>
    <w:rsid w:val="2F9F5D45"/>
    <w:rsid w:val="30297E18"/>
    <w:rsid w:val="312D3B04"/>
    <w:rsid w:val="3222549B"/>
    <w:rsid w:val="32BE7E17"/>
    <w:rsid w:val="33736822"/>
    <w:rsid w:val="34F2054C"/>
    <w:rsid w:val="3694EEE7"/>
    <w:rsid w:val="394048CE"/>
    <w:rsid w:val="3A0A2A2C"/>
    <w:rsid w:val="3A0E0D91"/>
    <w:rsid w:val="3A7B0F1C"/>
    <w:rsid w:val="3B6D5ACC"/>
    <w:rsid w:val="3BBD796B"/>
    <w:rsid w:val="3F6F6F4F"/>
    <w:rsid w:val="3FBFB34D"/>
    <w:rsid w:val="3FFB8B33"/>
    <w:rsid w:val="40140EBD"/>
    <w:rsid w:val="407231D7"/>
    <w:rsid w:val="43421B8D"/>
    <w:rsid w:val="43637AE1"/>
    <w:rsid w:val="437C0E3B"/>
    <w:rsid w:val="43FA018A"/>
    <w:rsid w:val="440E30A4"/>
    <w:rsid w:val="446F423E"/>
    <w:rsid w:val="44BA299A"/>
    <w:rsid w:val="45F76F43"/>
    <w:rsid w:val="4685110E"/>
    <w:rsid w:val="47177FA8"/>
    <w:rsid w:val="471E64B4"/>
    <w:rsid w:val="47DA4F4D"/>
    <w:rsid w:val="490175B8"/>
    <w:rsid w:val="4B507F2D"/>
    <w:rsid w:val="4BA76848"/>
    <w:rsid w:val="4D147D2D"/>
    <w:rsid w:val="4DB33670"/>
    <w:rsid w:val="4DE45BBC"/>
    <w:rsid w:val="4EBFA833"/>
    <w:rsid w:val="4FBB4D3E"/>
    <w:rsid w:val="508E7D6B"/>
    <w:rsid w:val="52E0773A"/>
    <w:rsid w:val="550D5DB1"/>
    <w:rsid w:val="552335FD"/>
    <w:rsid w:val="561F6D64"/>
    <w:rsid w:val="567CC98E"/>
    <w:rsid w:val="57144B90"/>
    <w:rsid w:val="57560D05"/>
    <w:rsid w:val="57572AD4"/>
    <w:rsid w:val="57FA10A0"/>
    <w:rsid w:val="593601E2"/>
    <w:rsid w:val="5ADF3F11"/>
    <w:rsid w:val="5B8639E8"/>
    <w:rsid w:val="5BDDEAB5"/>
    <w:rsid w:val="5BF2D5C7"/>
    <w:rsid w:val="5BFFCBF2"/>
    <w:rsid w:val="5C4E1708"/>
    <w:rsid w:val="5EDD2C7E"/>
    <w:rsid w:val="5EFE407F"/>
    <w:rsid w:val="5FBBA5A5"/>
    <w:rsid w:val="5FBC4BE6"/>
    <w:rsid w:val="5FFD23B1"/>
    <w:rsid w:val="608B3AC3"/>
    <w:rsid w:val="613EB0DC"/>
    <w:rsid w:val="61B25512"/>
    <w:rsid w:val="62A9506B"/>
    <w:rsid w:val="6316278E"/>
    <w:rsid w:val="648A7BCE"/>
    <w:rsid w:val="64FB3541"/>
    <w:rsid w:val="655A34D4"/>
    <w:rsid w:val="65F7F739"/>
    <w:rsid w:val="679630E1"/>
    <w:rsid w:val="69E60A5A"/>
    <w:rsid w:val="6A7FE82A"/>
    <w:rsid w:val="6AAB7F07"/>
    <w:rsid w:val="6B670A45"/>
    <w:rsid w:val="6BEB5412"/>
    <w:rsid w:val="6BED347A"/>
    <w:rsid w:val="6C2F3279"/>
    <w:rsid w:val="6DB47198"/>
    <w:rsid w:val="6E273BBE"/>
    <w:rsid w:val="6E292FC5"/>
    <w:rsid w:val="6F026EB4"/>
    <w:rsid w:val="6FF3F4B3"/>
    <w:rsid w:val="6FF78729"/>
    <w:rsid w:val="70E34840"/>
    <w:rsid w:val="71FF5244"/>
    <w:rsid w:val="72EC70D6"/>
    <w:rsid w:val="73131AB7"/>
    <w:rsid w:val="739A5AFB"/>
    <w:rsid w:val="749E0A3E"/>
    <w:rsid w:val="74A905F7"/>
    <w:rsid w:val="757EC042"/>
    <w:rsid w:val="75BA9FB8"/>
    <w:rsid w:val="76E476AF"/>
    <w:rsid w:val="77515673"/>
    <w:rsid w:val="776F3F6A"/>
    <w:rsid w:val="77B83AE3"/>
    <w:rsid w:val="77FF6AEB"/>
    <w:rsid w:val="79603137"/>
    <w:rsid w:val="79A6118C"/>
    <w:rsid w:val="79BE2EAF"/>
    <w:rsid w:val="7A030376"/>
    <w:rsid w:val="7A6F5904"/>
    <w:rsid w:val="7AF64A19"/>
    <w:rsid w:val="7B2017CA"/>
    <w:rsid w:val="7B7FE041"/>
    <w:rsid w:val="7BBF3D94"/>
    <w:rsid w:val="7BFC4C21"/>
    <w:rsid w:val="7BFD6CD9"/>
    <w:rsid w:val="7CFFD56C"/>
    <w:rsid w:val="7D741635"/>
    <w:rsid w:val="7DEF1891"/>
    <w:rsid w:val="7DF3D999"/>
    <w:rsid w:val="7E637269"/>
    <w:rsid w:val="7EDF44CD"/>
    <w:rsid w:val="7F4010F7"/>
    <w:rsid w:val="7F9D7EA4"/>
    <w:rsid w:val="7FAF0E6F"/>
    <w:rsid w:val="7FAFCC4F"/>
    <w:rsid w:val="7FBFA4B0"/>
    <w:rsid w:val="7FCFA504"/>
    <w:rsid w:val="7FF74C1F"/>
    <w:rsid w:val="7FF77090"/>
    <w:rsid w:val="7FFBE92B"/>
    <w:rsid w:val="7FFF595F"/>
    <w:rsid w:val="9ACDA0D1"/>
    <w:rsid w:val="9BEE0D8E"/>
    <w:rsid w:val="9F0F89B2"/>
    <w:rsid w:val="9FD657E7"/>
    <w:rsid w:val="9FFFE094"/>
    <w:rsid w:val="A37DBA76"/>
    <w:rsid w:val="A57F2FEF"/>
    <w:rsid w:val="ABA3B9B6"/>
    <w:rsid w:val="AFAFEC97"/>
    <w:rsid w:val="B3DA56AF"/>
    <w:rsid w:val="B5E693BE"/>
    <w:rsid w:val="B7BF9479"/>
    <w:rsid w:val="B8FF4A6B"/>
    <w:rsid w:val="BFF697AF"/>
    <w:rsid w:val="D75F8E8D"/>
    <w:rsid w:val="D7AED27A"/>
    <w:rsid w:val="D7D651D3"/>
    <w:rsid w:val="DDFD05E1"/>
    <w:rsid w:val="DDFF7315"/>
    <w:rsid w:val="DEBAEC40"/>
    <w:rsid w:val="DECF09BB"/>
    <w:rsid w:val="DEDDC377"/>
    <w:rsid w:val="DFB3CB75"/>
    <w:rsid w:val="DFCEC16D"/>
    <w:rsid w:val="DFF4D4CB"/>
    <w:rsid w:val="E76E1D35"/>
    <w:rsid w:val="E7DF6D51"/>
    <w:rsid w:val="E7FD3BDA"/>
    <w:rsid w:val="EDF71DA4"/>
    <w:rsid w:val="EF6FE4A7"/>
    <w:rsid w:val="EFE59B11"/>
    <w:rsid w:val="EFFF914A"/>
    <w:rsid w:val="F3FD0B01"/>
    <w:rsid w:val="F4EB1D4D"/>
    <w:rsid w:val="F59D3E55"/>
    <w:rsid w:val="F5D73922"/>
    <w:rsid w:val="F5F6A68C"/>
    <w:rsid w:val="F5FD12BB"/>
    <w:rsid w:val="F67B0631"/>
    <w:rsid w:val="F7FD1B82"/>
    <w:rsid w:val="F7FF11DC"/>
    <w:rsid w:val="FAFF43C1"/>
    <w:rsid w:val="FB1EA655"/>
    <w:rsid w:val="FC390568"/>
    <w:rsid w:val="FC7FA28E"/>
    <w:rsid w:val="FCBF5651"/>
    <w:rsid w:val="FDCFAC57"/>
    <w:rsid w:val="FEAD2695"/>
    <w:rsid w:val="FEFCAC57"/>
    <w:rsid w:val="FF3098F3"/>
    <w:rsid w:val="FF578953"/>
    <w:rsid w:val="FF9E2C40"/>
    <w:rsid w:val="FFFFC2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99"/>
    <w:pPr>
      <w:spacing w:line="600" w:lineRule="exact"/>
      <w:ind w:firstLine="200" w:firstLineChars="200"/>
    </w:pPr>
    <w:rPr>
      <w:rFonts w:ascii="仿宋_GB2312" w:hAnsi="宋体" w:eastAsia="仿宋_GB2312" w:cs="仿宋_GB2312"/>
      <w:sz w:val="32"/>
      <w:szCs w:val="32"/>
    </w:rPr>
  </w:style>
  <w:style w:type="paragraph" w:styleId="4">
    <w:name w:val="List Number"/>
    <w:basedOn w:val="1"/>
    <w:unhideWhenUsed/>
    <w:qFormat/>
    <w:uiPriority w:val="0"/>
    <w:pPr>
      <w:widowControl/>
      <w:tabs>
        <w:tab w:val="left" w:pos="360"/>
      </w:tabs>
      <w:spacing w:after="200" w:line="276" w:lineRule="auto"/>
      <w:contextualSpacing/>
      <w:jc w:val="left"/>
    </w:pPr>
    <w:rPr>
      <w:rFonts w:ascii="微软雅黑" w:hAnsi="微软雅黑" w:eastAsia="微软雅黑"/>
      <w:kern w:val="0"/>
      <w:sz w:val="22"/>
      <w:szCs w:val="22"/>
      <w:lang w:eastAsia="en-US"/>
    </w:rPr>
  </w:style>
  <w:style w:type="paragraph" w:styleId="5">
    <w:name w:val="Body Text"/>
    <w:basedOn w:val="1"/>
    <w:link w:val="17"/>
    <w:unhideWhenUsed/>
    <w:qFormat/>
    <w:uiPriority w:val="0"/>
    <w:pPr>
      <w:widowControl/>
      <w:spacing w:after="120" w:line="276" w:lineRule="auto"/>
      <w:jc w:val="left"/>
    </w:pPr>
    <w:rPr>
      <w:rFonts w:ascii="微软雅黑" w:hAnsi="微软雅黑" w:eastAsia="Songti SC"/>
      <w:kern w:val="0"/>
      <w:sz w:val="22"/>
      <w:szCs w:val="22"/>
      <w:lang w:eastAsia="en-US"/>
    </w:rPr>
  </w:style>
  <w:style w:type="paragraph" w:styleId="6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next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page number"/>
    <w:basedOn w:val="11"/>
    <w:qFormat/>
    <w:uiPriority w:val="99"/>
    <w:rPr>
      <w:rFonts w:cs="Times New Roman"/>
    </w:rPr>
  </w:style>
  <w:style w:type="character" w:customStyle="1" w:styleId="13">
    <w:name w:val="页脚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Char"/>
    <w:basedOn w:val="11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11"/>
    <w:link w:val="6"/>
    <w:semiHidden/>
    <w:qFormat/>
    <w:uiPriority w:val="99"/>
    <w:rPr>
      <w:kern w:val="2"/>
      <w:sz w:val="18"/>
      <w:szCs w:val="18"/>
    </w:rPr>
  </w:style>
  <w:style w:type="character" w:customStyle="1" w:styleId="16">
    <w:name w:val="标题 2 Char"/>
    <w:basedOn w:val="11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17">
    <w:name w:val="正文文本 Char"/>
    <w:basedOn w:val="11"/>
    <w:link w:val="5"/>
    <w:qFormat/>
    <w:uiPriority w:val="0"/>
    <w:rPr>
      <w:rFonts w:ascii="微软雅黑" w:hAnsi="微软雅黑" w:eastAsia="Songti SC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817</Words>
  <Characters>4659</Characters>
  <Lines>38</Lines>
  <Paragraphs>10</Paragraphs>
  <TotalTime>70</TotalTime>
  <ScaleCrop>false</ScaleCrop>
  <LinksUpToDate>false</LinksUpToDate>
  <CharactersWithSpaces>5466</CharactersWithSpaces>
  <Application>WPS Office_11.8.2.11958_F1E327BC-269C-435d-A152-05C5408002CA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2021-12-18T13:22:00Z</dcterms:created>
  <dc:creator>Windows 用户</dc:creator>
  <cp:lastModifiedBy>user</cp:lastModifiedBy>
  <cp:lastPrinted>2025-01-13T10:54:43Z</cp:lastPrinted>
  <dcterms:modified xsi:type="dcterms:W3CDTF">2025-01-13T11:19:30Z</dcterms:modified>
  <cp:revision>119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3BA3630E988C43E89BC978C3BFDE5659</vt:lpwstr>
  </property>
</Properties>
</file>