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100" w:beforeAutospacing="1" w:after="100" w:afterAutospacing="1" w:line="750" w:lineRule="atLeast"/>
        <w:ind w:left="361" w:hanging="361" w:hangingChars="100"/>
        <w:jc w:val="center"/>
        <w:outlineLvl w:val="0"/>
        <w:rPr>
          <w:rFonts w:ascii="宋体" w:hAnsi="宋体" w:cs="宋体"/>
          <w:b/>
          <w:bCs/>
          <w:color w:val="202020"/>
          <w:kern w:val="36"/>
          <w:sz w:val="36"/>
          <w:szCs w:val="36"/>
        </w:rPr>
      </w:pPr>
      <w:r>
        <w:rPr>
          <w:rFonts w:hint="eastAsia" w:ascii="宋体" w:hAnsi="宋体" w:cs="宋体"/>
          <w:b/>
          <w:bCs/>
          <w:color w:val="202020"/>
          <w:kern w:val="36"/>
          <w:sz w:val="36"/>
          <w:szCs w:val="36"/>
        </w:rPr>
        <w:t>关于2021年崇明区债务情况说明</w:t>
      </w:r>
    </w:p>
    <w:p>
      <w:pPr>
        <w:adjustRightInd w:val="0"/>
        <w:snapToGrid w:val="0"/>
        <w:spacing w:line="590" w:lineRule="exact"/>
        <w:ind w:firstLine="640" w:firstLineChars="200"/>
        <w:rPr>
          <w:rFonts w:ascii="Times New Roman" w:hAnsi="Times New Roman" w:eastAsia="仿宋_GB2312" w:cs="Arial"/>
          <w:kern w:val="0"/>
          <w:sz w:val="32"/>
          <w:szCs w:val="32"/>
        </w:rPr>
      </w:pPr>
      <w:r>
        <w:rPr>
          <w:rFonts w:hint="eastAsia" w:ascii="Times New Roman" w:hAnsi="Times New Roman" w:eastAsia="仿宋_GB2312" w:cs="Arial"/>
          <w:kern w:val="0"/>
          <w:sz w:val="32"/>
          <w:szCs w:val="32"/>
        </w:rPr>
        <w:t>经财政部核准，崇明区</w:t>
      </w:r>
      <w:r>
        <w:rPr>
          <w:rFonts w:ascii="Times New Roman" w:hAnsi="Times New Roman" w:eastAsia="仿宋_GB2312" w:cs="Arial"/>
          <w:kern w:val="0"/>
          <w:sz w:val="32"/>
          <w:szCs w:val="32"/>
        </w:rPr>
        <w:t>2021</w:t>
      </w:r>
      <w:r>
        <w:rPr>
          <w:rFonts w:hint="eastAsia" w:ascii="Times New Roman" w:hAnsi="Times New Roman" w:eastAsia="仿宋_GB2312" w:cs="Arial"/>
          <w:kern w:val="0"/>
          <w:sz w:val="32"/>
          <w:szCs w:val="32"/>
        </w:rPr>
        <w:t>年政府债务限额</w:t>
      </w:r>
      <w:r>
        <w:rPr>
          <w:rFonts w:ascii="Times New Roman" w:hAnsi="Times New Roman" w:eastAsia="仿宋_GB2312" w:cs="Arial"/>
          <w:kern w:val="0"/>
          <w:sz w:val="32"/>
          <w:szCs w:val="32"/>
        </w:rPr>
        <w:t>2811000</w:t>
      </w:r>
      <w:r>
        <w:rPr>
          <w:rFonts w:hint="eastAsia" w:ascii="Times New Roman" w:hAnsi="Times New Roman" w:eastAsia="仿宋_GB2312" w:cs="Arial"/>
          <w:kern w:val="0"/>
          <w:sz w:val="32"/>
          <w:szCs w:val="32"/>
        </w:rPr>
        <w:t>万元。</w:t>
      </w:r>
      <w:r>
        <w:rPr>
          <w:rFonts w:ascii="Times New Roman" w:hAnsi="Times New Roman" w:eastAsia="仿宋_GB2312" w:cs="Arial"/>
          <w:kern w:val="0"/>
          <w:sz w:val="32"/>
          <w:szCs w:val="32"/>
        </w:rPr>
        <w:t>2021</w:t>
      </w:r>
      <w:r>
        <w:rPr>
          <w:rFonts w:hint="eastAsia" w:ascii="Times New Roman" w:hAnsi="Times New Roman" w:eastAsia="仿宋_GB2312" w:cs="Arial"/>
          <w:kern w:val="0"/>
          <w:sz w:val="32"/>
          <w:szCs w:val="32"/>
        </w:rPr>
        <w:t>年本区政府债务余额</w:t>
      </w:r>
      <w:r>
        <w:rPr>
          <w:rFonts w:ascii="Times New Roman" w:hAnsi="Times New Roman" w:eastAsia="仿宋_GB2312" w:cs="Arial"/>
          <w:kern w:val="0"/>
          <w:sz w:val="32"/>
          <w:szCs w:val="32"/>
        </w:rPr>
        <w:t>2398898</w:t>
      </w:r>
      <w:r>
        <w:rPr>
          <w:rFonts w:hint="eastAsia" w:ascii="Times New Roman" w:hAnsi="Times New Roman" w:eastAsia="仿宋_GB2312" w:cs="Arial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90" w:lineRule="exact"/>
        <w:ind w:firstLine="640" w:firstLineChars="200"/>
        <w:rPr>
          <w:rFonts w:hint="eastAsia" w:ascii="Times New Roman" w:hAnsi="Times New Roman" w:eastAsia="仿宋_GB2312" w:cs="Arial"/>
          <w:kern w:val="0"/>
          <w:sz w:val="32"/>
          <w:szCs w:val="32"/>
        </w:rPr>
      </w:pPr>
      <w:r>
        <w:rPr>
          <w:rFonts w:ascii="Times New Roman" w:hAnsi="Times New Roman" w:eastAsia="仿宋_GB2312" w:cs="Arial"/>
          <w:kern w:val="0"/>
          <w:sz w:val="32"/>
          <w:szCs w:val="32"/>
        </w:rPr>
        <w:t>2021</w:t>
      </w:r>
      <w:r>
        <w:rPr>
          <w:rFonts w:hint="eastAsia" w:ascii="Times New Roman" w:hAnsi="Times New Roman" w:eastAsia="仿宋_GB2312" w:cs="Arial"/>
          <w:kern w:val="0"/>
          <w:sz w:val="32"/>
          <w:szCs w:val="32"/>
        </w:rPr>
        <w:t>年，崇明区共获得政府债券转贷收入307000万元，其中：一般债券250</w:t>
      </w:r>
      <w:r>
        <w:rPr>
          <w:rFonts w:ascii="Times New Roman" w:hAnsi="Times New Roman" w:eastAsia="仿宋_GB2312" w:cs="Arial"/>
          <w:kern w:val="0"/>
          <w:sz w:val="32"/>
          <w:szCs w:val="32"/>
        </w:rPr>
        <w:t>000</w:t>
      </w:r>
      <w:r>
        <w:rPr>
          <w:rFonts w:hint="eastAsia" w:ascii="Times New Roman" w:hAnsi="Times New Roman" w:eastAsia="仿宋_GB2312" w:cs="Arial"/>
          <w:kern w:val="0"/>
          <w:sz w:val="32"/>
          <w:szCs w:val="32"/>
        </w:rPr>
        <w:t>万元，列入一般公共预算；专项债券57000万元，列入政府性基金预算。</w:t>
      </w:r>
    </w:p>
    <w:p>
      <w:pPr>
        <w:adjustRightInd w:val="0"/>
        <w:snapToGrid w:val="0"/>
        <w:spacing w:line="590" w:lineRule="exact"/>
        <w:ind w:firstLine="640" w:firstLineChars="200"/>
        <w:rPr>
          <w:rFonts w:hint="default" w:ascii="Times New Roman" w:hAnsi="Times New Roman" w:eastAsia="仿宋_GB2312" w:cs="Arial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Arial"/>
          <w:kern w:val="0"/>
          <w:sz w:val="32"/>
          <w:szCs w:val="32"/>
          <w:lang w:val="en-US" w:eastAsia="zh-CN"/>
        </w:rPr>
        <w:t>2021年，还本付息共计335223万元，其中，一般债券255814万元，专项债券79409万元。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OGIzNTdmYmQwNGMyNmYxN2UwM2E4NzUyYTlkYWMifQ=="/>
  </w:docVars>
  <w:rsids>
    <w:rsidRoot w:val="00402ABB"/>
    <w:rsid w:val="00001915"/>
    <w:rsid w:val="000620CA"/>
    <w:rsid w:val="00073531"/>
    <w:rsid w:val="000D07AA"/>
    <w:rsid w:val="001000DF"/>
    <w:rsid w:val="00202392"/>
    <w:rsid w:val="002609DF"/>
    <w:rsid w:val="002B2068"/>
    <w:rsid w:val="00402ABB"/>
    <w:rsid w:val="00453C94"/>
    <w:rsid w:val="00485D75"/>
    <w:rsid w:val="004F6891"/>
    <w:rsid w:val="0063494B"/>
    <w:rsid w:val="006F1C55"/>
    <w:rsid w:val="00733419"/>
    <w:rsid w:val="007375BC"/>
    <w:rsid w:val="007B1463"/>
    <w:rsid w:val="007E5A22"/>
    <w:rsid w:val="00860727"/>
    <w:rsid w:val="009C002F"/>
    <w:rsid w:val="009D25DD"/>
    <w:rsid w:val="00A316DE"/>
    <w:rsid w:val="00A41362"/>
    <w:rsid w:val="00A971A0"/>
    <w:rsid w:val="00AB2035"/>
    <w:rsid w:val="00AB2D07"/>
    <w:rsid w:val="00AE6B59"/>
    <w:rsid w:val="00B260E2"/>
    <w:rsid w:val="00B30B52"/>
    <w:rsid w:val="00B54BA6"/>
    <w:rsid w:val="00BB543C"/>
    <w:rsid w:val="00C32CCC"/>
    <w:rsid w:val="00D57C7B"/>
    <w:rsid w:val="00DA4038"/>
    <w:rsid w:val="00DD62A7"/>
    <w:rsid w:val="00E1024E"/>
    <w:rsid w:val="00E36489"/>
    <w:rsid w:val="00E80B1C"/>
    <w:rsid w:val="00F11495"/>
    <w:rsid w:val="742A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标题 1 Char"/>
    <w:basedOn w:val="6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8EC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127</Characters>
  <Lines>1</Lines>
  <Paragraphs>1</Paragraphs>
  <TotalTime>73</TotalTime>
  <ScaleCrop>false</ScaleCrop>
  <LinksUpToDate>false</LinksUpToDate>
  <CharactersWithSpaces>148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2019-01-09T10:13:00Z</dcterms:created>
  <dc:creator>cmcz</dc:creator>
  <cp:lastModifiedBy>WPS_1666503683</cp:lastModifiedBy>
  <cp:lastPrinted>2019-01-30T07:28:00Z</cp:lastPrinted>
  <dcterms:modified xsi:type="dcterms:W3CDTF">2022-01-28T10:09:01Z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A2A30D879DB54437A4907F8157AC1B3F_12</vt:lpwstr>
  </property>
</Properties>
</file>