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topLinePunct w:val="0"/>
        <w:autoSpaceDE/>
        <w:autoSpaceDN/>
        <w:bidi w:val="0"/>
        <w:adjustRightInd/>
        <w:snapToGrid/>
        <w:spacing w:line="530" w:lineRule="exact"/>
        <w:ind w:firstLine="0" w:firstLineChars="0"/>
        <w:jc w:val="center"/>
        <w:textAlignment w:val="auto"/>
        <w:outlineLvl w:val="9"/>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《崇明区农业农村财政性资产管理办法（征求意见稿）》公开征集意见公告</w:t>
      </w:r>
    </w:p>
    <w:p>
      <w:pPr>
        <w:keepNext w:val="0"/>
        <w:keepLines w:val="0"/>
        <w:pageBreakBefore w:val="0"/>
        <w:widowControl w:val="0"/>
        <w:kinsoku/>
        <w:overflowPunct/>
        <w:topLinePunct w:val="0"/>
        <w:autoSpaceDE/>
        <w:autoSpaceDN/>
        <w:bidi w:val="0"/>
        <w:adjustRightInd/>
        <w:snapToGrid/>
        <w:spacing w:line="530" w:lineRule="exact"/>
        <w:ind w:firstLine="640" w:firstLineChars="200"/>
        <w:jc w:val="left"/>
        <w:textAlignment w:val="auto"/>
        <w:outlineLvl w:val="9"/>
        <w:rPr>
          <w:rFonts w:hint="eastAsia" w:ascii="仿宋_GB2312" w:hAnsi="仿宋_GB2312" w:cs="仿宋_GB2312"/>
          <w:sz w:val="32"/>
          <w:szCs w:val="32"/>
          <w:lang w:val="en-US" w:eastAsia="zh-CN"/>
        </w:rPr>
      </w:pPr>
    </w:p>
    <w:p>
      <w:pPr>
        <w:keepNext w:val="0"/>
        <w:keepLines w:val="0"/>
        <w:pageBreakBefore w:val="0"/>
        <w:widowControl w:val="0"/>
        <w:kinsoku/>
        <w:overflowPunct/>
        <w:topLinePunct w:val="0"/>
        <w:autoSpaceDE/>
        <w:autoSpaceDN/>
        <w:bidi w:val="0"/>
        <w:adjustRightInd/>
        <w:snapToGrid/>
        <w:spacing w:line="530" w:lineRule="exact"/>
        <w:ind w:firstLine="640" w:firstLineChars="200"/>
        <w:jc w:val="left"/>
        <w:textAlignment w:val="auto"/>
        <w:outlineLvl w:val="9"/>
        <w:rPr>
          <w:rFonts w:hint="eastAsia" w:ascii="仿宋_GB2312" w:hAnsi="仿宋_GB2312" w:eastAsia="仿宋_GB2312" w:cs="仿宋_GB2312"/>
          <w:szCs w:val="32"/>
          <w:lang w:eastAsia="zh-CN"/>
        </w:rPr>
      </w:pPr>
      <w:r>
        <w:rPr>
          <w:rFonts w:hint="eastAsia" w:ascii="仿宋_GB2312" w:hAnsi="仿宋_GB2312" w:cs="仿宋_GB2312"/>
          <w:sz w:val="32"/>
          <w:szCs w:val="32"/>
          <w:lang w:val="en-US" w:eastAsia="zh-CN"/>
        </w:rPr>
        <w:t>为加强崇明农业农村财政性资产管理使用的规范性，</w:t>
      </w:r>
      <w:r>
        <w:rPr>
          <w:rFonts w:hint="eastAsia" w:ascii="仿宋_GB2312" w:hAnsi="仿宋_GB2312" w:eastAsia="仿宋_GB2312" w:cs="仿宋_GB2312"/>
          <w:sz w:val="32"/>
          <w:szCs w:val="32"/>
          <w:lang w:eastAsia="zh-CN"/>
        </w:rPr>
        <w:t>提高财政资金使用绩效</w:t>
      </w:r>
      <w:r>
        <w:rPr>
          <w:rFonts w:hint="eastAsia" w:ascii="仿宋_GB2312" w:hAnsi="仿宋_GB2312" w:cs="仿宋_GB2312"/>
          <w:sz w:val="32"/>
          <w:szCs w:val="32"/>
          <w:lang w:eastAsia="zh-CN"/>
        </w:rPr>
        <w:t>，</w:t>
      </w:r>
      <w:r>
        <w:rPr>
          <w:rFonts w:hint="eastAsia" w:ascii="仿宋_GB2312" w:hAnsi="仿宋_GB2312" w:cs="仿宋_GB2312"/>
          <w:szCs w:val="32"/>
          <w:lang w:val="en-US" w:eastAsia="zh-CN"/>
        </w:rPr>
        <w:t>根据</w:t>
      </w:r>
      <w:r>
        <w:rPr>
          <w:rFonts w:hint="eastAsia" w:ascii="仿宋_GB2312" w:hAnsi="仿宋_GB2312" w:eastAsia="仿宋_GB2312" w:cs="仿宋_GB2312"/>
          <w:sz w:val="32"/>
          <w:szCs w:val="32"/>
          <w:lang w:val="en-US" w:eastAsia="zh-CN"/>
        </w:rPr>
        <w:t>《关于印发&lt;关于加强市级农业设施财政性资产管理的意见&gt;的通知》（沪农委〔2022〕7号）</w:t>
      </w:r>
      <w:r>
        <w:rPr>
          <w:rFonts w:hint="eastAsia" w:ascii="仿宋_GB2312" w:hAnsi="仿宋_GB2312" w:cs="仿宋_GB2312"/>
          <w:sz w:val="32"/>
          <w:szCs w:val="32"/>
          <w:lang w:val="en-US" w:eastAsia="zh-CN"/>
        </w:rPr>
        <w:t>等文件精神</w:t>
      </w:r>
      <w:r>
        <w:rPr>
          <w:rFonts w:hint="eastAsia" w:ascii="仿宋_GB2312" w:hAnsi="仿宋_GB2312" w:cs="仿宋_GB2312"/>
          <w:szCs w:val="32"/>
        </w:rPr>
        <w:t>，</w:t>
      </w:r>
      <w:r>
        <w:rPr>
          <w:rFonts w:hint="eastAsia" w:ascii="仿宋_GB2312" w:hAnsi="仿宋_GB2312" w:cs="仿宋_GB2312"/>
          <w:szCs w:val="32"/>
          <w:lang w:eastAsia="zh-CN"/>
        </w:rPr>
        <w:t>区农业农村委、区财政局起草</w:t>
      </w:r>
      <w:r>
        <w:rPr>
          <w:rFonts w:hint="eastAsia" w:ascii="仿宋_GB2312" w:hAnsi="仿宋_GB2312" w:cs="仿宋_GB2312"/>
          <w:szCs w:val="32"/>
        </w:rPr>
        <w:t>制定了《崇明区农业农村财政性资产管理办法</w:t>
      </w:r>
      <w:r>
        <w:rPr>
          <w:rFonts w:hint="eastAsia" w:ascii="仿宋_GB2312" w:hAnsi="仿宋_GB2312" w:cs="仿宋_GB2312"/>
          <w:szCs w:val="32"/>
          <w:lang w:eastAsia="zh-CN"/>
        </w:rPr>
        <w:t>（征求意见稿）</w:t>
      </w:r>
      <w:r>
        <w:rPr>
          <w:rFonts w:hint="eastAsia" w:ascii="仿宋_GB2312" w:hAnsi="仿宋_GB2312" w:cs="仿宋_GB2312"/>
          <w:szCs w:val="32"/>
        </w:rPr>
        <w:t>》</w:t>
      </w:r>
      <w:r>
        <w:rPr>
          <w:rFonts w:hint="eastAsia" w:ascii="仿宋_GB2312" w:hAnsi="仿宋_GB2312" w:cs="仿宋_GB2312"/>
          <w:szCs w:val="32"/>
          <w:lang w:eastAsia="zh-CN"/>
        </w:rPr>
        <w:t>。为确保文件制定的科学性，现向社会公众征求意见，公开征求意见时间截止到202</w:t>
      </w:r>
      <w:r>
        <w:rPr>
          <w:rFonts w:hint="eastAsia" w:ascii="仿宋_GB2312" w:hAnsi="仿宋_GB2312" w:cs="仿宋_GB2312"/>
          <w:szCs w:val="32"/>
          <w:lang w:val="en-US" w:eastAsia="zh-CN"/>
        </w:rPr>
        <w:t>5</w:t>
      </w:r>
      <w:r>
        <w:rPr>
          <w:rFonts w:hint="eastAsia" w:ascii="仿宋_GB2312" w:hAnsi="仿宋_GB2312" w:cs="仿宋_GB2312"/>
          <w:szCs w:val="32"/>
          <w:lang w:eastAsia="zh-CN"/>
        </w:rPr>
        <w:t>年6月23日。</w:t>
      </w:r>
    </w:p>
    <w:p>
      <w:pPr>
        <w:keepNext w:val="0"/>
        <w:keepLines w:val="0"/>
        <w:pageBreakBefore w:val="0"/>
        <w:widowControl w:val="0"/>
        <w:kinsoku/>
        <w:overflowPunct/>
        <w:topLinePunct w:val="0"/>
        <w:autoSpaceDE/>
        <w:autoSpaceDN/>
        <w:bidi w:val="0"/>
        <w:adjustRightInd/>
        <w:snapToGrid/>
        <w:spacing w:line="530" w:lineRule="exact"/>
        <w:ind w:firstLine="640" w:firstLineChars="200"/>
        <w:jc w:val="left"/>
        <w:textAlignment w:val="auto"/>
        <w:outlineLvl w:val="9"/>
        <w:rPr>
          <w:rFonts w:hint="eastAsia" w:ascii="仿宋_GB2312" w:hAnsi="仿宋_GB2312" w:cs="仿宋_GB2312"/>
          <w:szCs w:val="32"/>
          <w:lang w:eastAsia="zh-CN"/>
        </w:rPr>
      </w:pPr>
    </w:p>
    <w:p>
      <w:pPr>
        <w:keepNext w:val="0"/>
        <w:keepLines w:val="0"/>
        <w:pageBreakBefore w:val="0"/>
        <w:widowControl w:val="0"/>
        <w:kinsoku/>
        <w:overflowPunct/>
        <w:topLinePunct w:val="0"/>
        <w:autoSpaceDE/>
        <w:autoSpaceDN/>
        <w:bidi w:val="0"/>
        <w:adjustRightInd/>
        <w:snapToGrid/>
        <w:spacing w:line="530" w:lineRule="exact"/>
        <w:ind w:firstLine="640" w:firstLineChars="200"/>
        <w:jc w:val="left"/>
        <w:textAlignment w:val="auto"/>
        <w:outlineLvl w:val="9"/>
        <w:rPr>
          <w:rFonts w:hint="eastAsia" w:ascii="仿宋_GB2312" w:hAnsi="仿宋_GB2312" w:cs="仿宋_GB2312"/>
          <w:szCs w:val="32"/>
          <w:lang w:eastAsia="zh-CN"/>
        </w:rPr>
      </w:pPr>
      <w:r>
        <w:rPr>
          <w:rFonts w:hint="eastAsia" w:ascii="仿宋_GB2312" w:hAnsi="仿宋_GB2312" w:cs="仿宋_GB2312"/>
          <w:szCs w:val="32"/>
          <w:lang w:eastAsia="zh-CN"/>
        </w:rPr>
        <w:t>联系人：区农业农村委产业发展科</w:t>
      </w:r>
      <w:r>
        <w:rPr>
          <w:rFonts w:hint="eastAsia" w:ascii="仿宋_GB2312" w:hAnsi="仿宋_GB2312" w:cs="仿宋_GB2312"/>
          <w:szCs w:val="32"/>
          <w:lang w:val="en-US" w:eastAsia="zh-CN"/>
        </w:rPr>
        <w:t xml:space="preserve">  龚蕾蕾、</w:t>
      </w:r>
      <w:r>
        <w:rPr>
          <w:rFonts w:hint="eastAsia" w:ascii="仿宋_GB2312" w:hAnsi="仿宋_GB2312" w:cs="仿宋_GB2312"/>
          <w:szCs w:val="32"/>
          <w:lang w:eastAsia="zh-CN"/>
        </w:rPr>
        <w:t>周雨宣</w:t>
      </w:r>
    </w:p>
    <w:p>
      <w:pPr>
        <w:keepNext w:val="0"/>
        <w:keepLines w:val="0"/>
        <w:pageBreakBefore w:val="0"/>
        <w:widowControl w:val="0"/>
        <w:kinsoku/>
        <w:overflowPunct/>
        <w:topLinePunct w:val="0"/>
        <w:autoSpaceDE/>
        <w:autoSpaceDN/>
        <w:bidi w:val="0"/>
        <w:adjustRightInd/>
        <w:snapToGrid/>
        <w:spacing w:line="530" w:lineRule="exact"/>
        <w:ind w:firstLine="640" w:firstLineChars="200"/>
        <w:jc w:val="left"/>
        <w:textAlignment w:val="auto"/>
        <w:outlineLvl w:val="9"/>
        <w:rPr>
          <w:rFonts w:hint="eastAsia" w:ascii="仿宋_GB2312" w:hAnsi="仿宋_GB2312" w:cs="仿宋_GB2312"/>
          <w:szCs w:val="32"/>
          <w:lang w:val="en-US" w:eastAsia="zh-CN"/>
        </w:rPr>
      </w:pPr>
      <w:r>
        <w:rPr>
          <w:rFonts w:hint="eastAsia" w:ascii="仿宋_GB2312" w:hAnsi="仿宋_GB2312" w:cs="仿宋_GB2312"/>
          <w:szCs w:val="32"/>
          <w:lang w:val="en-US" w:eastAsia="zh-CN"/>
        </w:rPr>
        <w:t>联系电话：59612329  传真号：59617105</w:t>
      </w:r>
    </w:p>
    <w:p>
      <w:pPr>
        <w:keepNext w:val="0"/>
        <w:keepLines w:val="0"/>
        <w:pageBreakBefore w:val="0"/>
        <w:widowControl w:val="0"/>
        <w:kinsoku/>
        <w:overflowPunct/>
        <w:topLinePunct w:val="0"/>
        <w:autoSpaceDE/>
        <w:autoSpaceDN/>
        <w:bidi w:val="0"/>
        <w:adjustRightInd/>
        <w:snapToGrid/>
        <w:spacing w:line="530" w:lineRule="exact"/>
        <w:ind w:firstLine="640" w:firstLineChars="200"/>
        <w:jc w:val="left"/>
        <w:textAlignment w:val="auto"/>
        <w:outlineLvl w:val="9"/>
        <w:rPr>
          <w:rFonts w:hint="eastAsia" w:ascii="仿宋_GB2312" w:hAnsi="仿宋_GB2312" w:eastAsia="仿宋_GB2312" w:cs="仿宋_GB2312"/>
          <w:szCs w:val="32"/>
          <w:lang w:val="en-US" w:eastAsia="zh-CN"/>
        </w:rPr>
      </w:pPr>
      <w:r>
        <w:rPr>
          <w:rFonts w:hint="default" w:ascii="仿宋_GB2312" w:hAnsi="仿宋_GB2312" w:cs="仿宋_GB2312"/>
          <w:szCs w:val="32"/>
          <w:lang w:val="en-US" w:eastAsia="zh-CN"/>
        </w:rPr>
        <w:t>通讯地址：崇明区崇明大道8188号行政办公中心2号楼4</w:t>
      </w:r>
      <w:r>
        <w:rPr>
          <w:rFonts w:hint="eastAsia" w:ascii="仿宋_GB2312" w:hAnsi="仿宋_GB2312" w:cs="仿宋_GB2312"/>
          <w:szCs w:val="32"/>
          <w:lang w:val="en-US" w:eastAsia="zh-CN"/>
        </w:rPr>
        <w:t>楼</w:t>
      </w:r>
    </w:p>
    <w:p>
      <w:pPr>
        <w:keepNext w:val="0"/>
        <w:keepLines w:val="0"/>
        <w:pageBreakBefore w:val="0"/>
        <w:widowControl w:val="0"/>
        <w:kinsoku/>
        <w:overflowPunct/>
        <w:topLinePunct w:val="0"/>
        <w:autoSpaceDE/>
        <w:autoSpaceDN/>
        <w:bidi w:val="0"/>
        <w:adjustRightInd/>
        <w:snapToGrid/>
        <w:spacing w:line="530" w:lineRule="exact"/>
        <w:ind w:firstLine="640" w:firstLineChars="200"/>
        <w:jc w:val="left"/>
        <w:textAlignment w:val="auto"/>
        <w:outlineLvl w:val="9"/>
        <w:rPr>
          <w:rFonts w:hint="eastAsia" w:ascii="仿宋_GB2312" w:hAnsi="仿宋_GB2312" w:cs="仿宋_GB2312"/>
          <w:szCs w:val="32"/>
          <w:lang w:val="en-US" w:eastAsia="zh-CN"/>
        </w:rPr>
      </w:pP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jc w:val="left"/>
        <w:textAlignment w:val="auto"/>
        <w:outlineLvl w:val="9"/>
        <w:rPr>
          <w:rFonts w:hint="eastAsia" w:ascii="仿宋_GB2312" w:hAnsi="仿宋_GB2312" w:cs="仿宋_GB2312"/>
          <w:w w:val="95"/>
          <w:szCs w:val="32"/>
          <w:lang w:val="en-US" w:eastAsia="zh-CN"/>
        </w:rPr>
      </w:pPr>
      <w:r>
        <w:rPr>
          <w:rFonts w:hint="eastAsia" w:ascii="仿宋_GB2312" w:hAnsi="仿宋_GB2312" w:cs="仿宋_GB2312"/>
          <w:szCs w:val="32"/>
          <w:lang w:val="en-US" w:eastAsia="zh-CN"/>
        </w:rPr>
        <w:t>附件：1.</w:t>
      </w:r>
      <w:r>
        <w:rPr>
          <w:rFonts w:hint="eastAsia" w:ascii="仿宋_GB2312" w:hAnsi="仿宋_GB2312" w:cs="仿宋_GB2312"/>
          <w:w w:val="95"/>
          <w:szCs w:val="32"/>
          <w:lang w:val="en-US" w:eastAsia="zh-CN"/>
        </w:rPr>
        <w:t>崇明区农业农村财政性资产管理办法（征求意见稿）</w:t>
      </w:r>
    </w:p>
    <w:p>
      <w:pPr>
        <w:keepNext w:val="0"/>
        <w:keepLines w:val="0"/>
        <w:pageBreakBefore w:val="0"/>
        <w:widowControl w:val="0"/>
        <w:kinsoku/>
        <w:wordWrap/>
        <w:overflowPunct/>
        <w:topLinePunct w:val="0"/>
        <w:autoSpaceDE/>
        <w:autoSpaceDN/>
        <w:bidi w:val="0"/>
        <w:adjustRightInd/>
        <w:snapToGrid/>
        <w:spacing w:line="530" w:lineRule="exact"/>
        <w:ind w:firstLine="1600" w:firstLineChars="500"/>
        <w:jc w:val="left"/>
        <w:textAlignment w:val="auto"/>
        <w:outlineLvl w:val="9"/>
        <w:rPr>
          <w:rFonts w:hint="eastAsia" w:ascii="仿宋_GB2312" w:hAnsi="仿宋_GB2312" w:cs="仿宋_GB2312"/>
          <w:szCs w:val="32"/>
          <w:lang w:val="en-US" w:eastAsia="zh-CN"/>
        </w:rPr>
      </w:pPr>
      <w:r>
        <w:rPr>
          <w:rFonts w:hint="eastAsia" w:ascii="仿宋_GB2312" w:hAnsi="仿宋_GB2312" w:cs="仿宋_GB2312"/>
          <w:szCs w:val="32"/>
          <w:lang w:val="en-US" w:eastAsia="zh-CN"/>
        </w:rPr>
        <w:t>2.崇明区农业农村财政性资产移交清单（样表）</w:t>
      </w:r>
    </w:p>
    <w:p>
      <w:pPr>
        <w:keepNext w:val="0"/>
        <w:keepLines w:val="0"/>
        <w:pageBreakBefore w:val="0"/>
        <w:widowControl w:val="0"/>
        <w:kinsoku/>
        <w:wordWrap/>
        <w:overflowPunct/>
        <w:topLinePunct w:val="0"/>
        <w:autoSpaceDE/>
        <w:autoSpaceDN/>
        <w:bidi w:val="0"/>
        <w:adjustRightInd/>
        <w:snapToGrid/>
        <w:spacing w:line="530" w:lineRule="exact"/>
        <w:ind w:firstLine="1600" w:firstLineChars="500"/>
        <w:jc w:val="left"/>
        <w:textAlignment w:val="auto"/>
        <w:outlineLvl w:val="9"/>
        <w:rPr>
          <w:rFonts w:hint="default" w:ascii="仿宋_GB2312" w:hAnsi="仿宋_GB2312" w:cs="仿宋_GB2312"/>
          <w:szCs w:val="32"/>
          <w:lang w:val="en-US" w:eastAsia="zh-CN"/>
        </w:rPr>
      </w:pPr>
      <w:r>
        <w:rPr>
          <w:rFonts w:hint="eastAsia" w:ascii="仿宋_GB2312" w:hAnsi="仿宋_GB2312" w:cs="仿宋_GB2312"/>
          <w:szCs w:val="32"/>
          <w:lang w:val="en-US" w:eastAsia="zh-CN"/>
        </w:rPr>
        <w:t>3.</w:t>
      </w:r>
      <w:r>
        <w:rPr>
          <w:rFonts w:hint="default" w:ascii="仿宋_GB2312" w:hAnsi="仿宋_GB2312" w:cs="仿宋_GB2312"/>
          <w:szCs w:val="32"/>
          <w:lang w:val="en-US" w:eastAsia="zh-CN"/>
        </w:rPr>
        <w:t>崇明区农业农村财政性资产使用和管护协议（样张）</w:t>
      </w:r>
    </w:p>
    <w:p>
      <w:pPr>
        <w:keepNext w:val="0"/>
        <w:keepLines w:val="0"/>
        <w:pageBreakBefore w:val="0"/>
        <w:widowControl w:val="0"/>
        <w:kinsoku/>
        <w:wordWrap/>
        <w:overflowPunct/>
        <w:topLinePunct w:val="0"/>
        <w:autoSpaceDE/>
        <w:autoSpaceDN/>
        <w:bidi w:val="0"/>
        <w:adjustRightInd/>
        <w:snapToGrid/>
        <w:spacing w:line="530" w:lineRule="exact"/>
        <w:ind w:firstLine="1600" w:firstLineChars="500"/>
        <w:jc w:val="left"/>
        <w:textAlignment w:val="auto"/>
        <w:outlineLvl w:val="9"/>
        <w:rPr>
          <w:rFonts w:hint="default" w:ascii="仿宋_GB2312" w:hAnsi="仿宋_GB2312" w:cs="仿宋_GB2312"/>
          <w:szCs w:val="32"/>
          <w:lang w:val="en-US" w:eastAsia="zh-CN"/>
        </w:rPr>
      </w:pPr>
      <w:r>
        <w:rPr>
          <w:rFonts w:hint="eastAsia" w:ascii="仿宋_GB2312" w:hAnsi="仿宋_GB2312" w:cs="仿宋_GB2312"/>
          <w:szCs w:val="32"/>
          <w:lang w:val="en-US" w:eastAsia="zh-CN"/>
        </w:rPr>
        <w:t>4.</w:t>
      </w:r>
      <w:r>
        <w:rPr>
          <w:rFonts w:hint="default" w:ascii="仿宋_GB2312" w:hAnsi="仿宋_GB2312" w:cs="仿宋_GB2312"/>
          <w:szCs w:val="32"/>
          <w:lang w:val="en-US" w:eastAsia="zh-CN"/>
        </w:rPr>
        <w:t>崇明区农业农村财政性资产确认单（样表）</w:t>
      </w:r>
    </w:p>
    <w:p>
      <w:pPr>
        <w:keepNext w:val="0"/>
        <w:keepLines w:val="0"/>
        <w:pageBreakBefore w:val="0"/>
        <w:widowControl w:val="0"/>
        <w:kinsoku/>
        <w:wordWrap/>
        <w:overflowPunct/>
        <w:topLinePunct w:val="0"/>
        <w:autoSpaceDE/>
        <w:autoSpaceDN/>
        <w:bidi w:val="0"/>
        <w:adjustRightInd/>
        <w:snapToGrid/>
        <w:spacing w:line="530" w:lineRule="exact"/>
        <w:ind w:firstLine="1600" w:firstLineChars="500"/>
        <w:jc w:val="left"/>
        <w:textAlignment w:val="auto"/>
        <w:outlineLvl w:val="9"/>
        <w:rPr>
          <w:rFonts w:hint="eastAsia" w:ascii="仿宋_GB2312" w:hAnsi="仿宋_GB2312" w:cs="仿宋_GB2312"/>
          <w:szCs w:val="32"/>
          <w:lang w:val="en-US" w:eastAsia="zh-CN"/>
        </w:rPr>
      </w:pPr>
    </w:p>
    <w:p>
      <w:pPr>
        <w:keepNext w:val="0"/>
        <w:keepLines w:val="0"/>
        <w:pageBreakBefore w:val="0"/>
        <w:widowControl w:val="0"/>
        <w:kinsoku/>
        <w:wordWrap/>
        <w:overflowPunct/>
        <w:topLinePunct w:val="0"/>
        <w:autoSpaceDE/>
        <w:autoSpaceDN/>
        <w:bidi w:val="0"/>
        <w:adjustRightInd/>
        <w:snapToGrid/>
        <w:spacing w:line="530" w:lineRule="exact"/>
        <w:jc w:val="right"/>
        <w:textAlignment w:val="auto"/>
        <w:outlineLvl w:val="9"/>
        <w:rPr>
          <w:rFonts w:hint="eastAsia" w:ascii="仿宋_GB2312" w:hAnsi="仿宋_GB2312" w:cs="仿宋_GB2312"/>
          <w:szCs w:val="32"/>
          <w:lang w:val="en-US" w:eastAsia="zh-CN"/>
        </w:rPr>
      </w:pPr>
      <w:r>
        <w:rPr>
          <w:rFonts w:hint="eastAsia" w:ascii="仿宋_GB2312" w:hAnsi="仿宋_GB2312" w:cs="仿宋_GB2312"/>
          <w:szCs w:val="32"/>
          <w:lang w:val="en-US" w:eastAsia="zh-CN"/>
        </w:rPr>
        <w:t>上海市崇明区农业农村委员会</w:t>
      </w:r>
    </w:p>
    <w:p>
      <w:pPr>
        <w:keepNext w:val="0"/>
        <w:keepLines w:val="0"/>
        <w:pageBreakBefore w:val="0"/>
        <w:widowControl w:val="0"/>
        <w:kinsoku/>
        <w:wordWrap w:val="0"/>
        <w:overflowPunct/>
        <w:topLinePunct w:val="0"/>
        <w:autoSpaceDE/>
        <w:autoSpaceDN/>
        <w:bidi w:val="0"/>
        <w:adjustRightInd/>
        <w:snapToGrid/>
        <w:spacing w:line="530" w:lineRule="exact"/>
        <w:jc w:val="right"/>
        <w:textAlignment w:val="auto"/>
        <w:outlineLvl w:val="9"/>
        <w:rPr>
          <w:rFonts w:hint="default" w:ascii="仿宋_GB2312" w:hAnsi="仿宋_GB2312" w:cs="仿宋_GB2312"/>
          <w:szCs w:val="32"/>
          <w:lang w:val="en-US" w:eastAsia="zh-CN"/>
        </w:rPr>
      </w:pPr>
      <w:r>
        <w:rPr>
          <w:rFonts w:hint="eastAsia" w:ascii="仿宋_GB2312" w:hAnsi="仿宋_GB2312" w:cs="仿宋_GB2312"/>
          <w:szCs w:val="32"/>
          <w:lang w:val="en-US" w:eastAsia="zh-CN"/>
        </w:rPr>
        <w:t xml:space="preserve">2025年5月23日     </w:t>
      </w:r>
    </w:p>
    <w:p>
      <w:pPr>
        <w:keepNext w:val="0"/>
        <w:keepLines w:val="0"/>
        <w:pageBreakBefore w:val="0"/>
        <w:widowControl w:val="0"/>
        <w:kinsoku/>
        <w:overflowPunct/>
        <w:topLinePunct w:val="0"/>
        <w:autoSpaceDE/>
        <w:autoSpaceDN/>
        <w:bidi w:val="0"/>
        <w:adjustRightInd/>
        <w:snapToGrid/>
        <w:spacing w:line="530" w:lineRule="exact"/>
        <w:jc w:val="left"/>
        <w:textAlignment w:val="auto"/>
        <w:outlineLvl w:val="9"/>
        <w:rPr>
          <w:rFonts w:hint="eastAsia" w:ascii="黑体" w:hAnsi="黑体" w:eastAsia="黑体" w:cs="黑体"/>
          <w:sz w:val="32"/>
          <w:szCs w:val="32"/>
        </w:rPr>
        <w:sectPr>
          <w:headerReference r:id="rId3" w:type="first"/>
          <w:footerReference r:id="rId6" w:type="first"/>
          <w:footerReference r:id="rId4" w:type="default"/>
          <w:footerReference r:id="rId5" w:type="even"/>
          <w:pgSz w:w="11906" w:h="16838"/>
          <w:pgMar w:top="2098" w:right="1474" w:bottom="1984" w:left="1587" w:header="851" w:footer="1247" w:gutter="0"/>
          <w:pgNumType w:fmt="numberInDash"/>
          <w:cols w:space="0" w:num="1"/>
          <w:rtlGutter w:val="0"/>
          <w:docGrid w:type="lines" w:linePitch="312" w:charSpace="0"/>
        </w:sectPr>
      </w:pPr>
    </w:p>
    <w:p>
      <w:pPr>
        <w:adjustRightInd w:val="0"/>
        <w:snapToGrid w:val="0"/>
        <w:spacing w:line="560" w:lineRule="exact"/>
        <w:jc w:val="left"/>
        <w:rPr>
          <w:rFonts w:hint="eastAsia" w:ascii="黑体" w:hAnsi="黑体" w:eastAsia="黑体" w:cs="黑体"/>
          <w:sz w:val="32"/>
          <w:szCs w:val="32"/>
          <w:u w:val="none"/>
          <w:lang w:val="en-US" w:eastAsia="zh-CN"/>
        </w:rPr>
      </w:pPr>
      <w:r>
        <w:rPr>
          <w:rFonts w:hint="eastAsia" w:ascii="黑体" w:hAnsi="黑体" w:eastAsia="黑体" w:cs="黑体"/>
          <w:sz w:val="32"/>
          <w:szCs w:val="32"/>
          <w:u w:val="none"/>
          <w:lang w:val="en-US" w:eastAsia="zh-CN"/>
        </w:rPr>
        <w:t>附件1</w:t>
      </w:r>
    </w:p>
    <w:p>
      <w:pPr>
        <w:adjustRightInd w:val="0"/>
        <w:snapToGrid w:val="0"/>
        <w:spacing w:line="560" w:lineRule="exact"/>
        <w:jc w:val="center"/>
        <w:rPr>
          <w:rFonts w:ascii="方正小标宋简体" w:hAnsi="方正小标宋简体" w:eastAsia="方正小标宋简体" w:cs="方正小标宋简体"/>
          <w:sz w:val="44"/>
          <w:szCs w:val="44"/>
          <w:u w:val="none"/>
        </w:rPr>
      </w:pPr>
      <w:r>
        <w:rPr>
          <w:rFonts w:hint="eastAsia" w:ascii="方正小标宋简体" w:hAnsi="方正小标宋简体" w:eastAsia="方正小标宋简体" w:cs="方正小标宋简体"/>
          <w:sz w:val="44"/>
          <w:szCs w:val="44"/>
          <w:u w:val="none"/>
        </w:rPr>
        <w:t>崇明区农业农村财政性资产管理办法</w:t>
      </w:r>
    </w:p>
    <w:p>
      <w:pPr>
        <w:adjustRightInd w:val="0"/>
        <w:snapToGrid w:val="0"/>
        <w:spacing w:line="560" w:lineRule="exact"/>
        <w:jc w:val="center"/>
        <w:rPr>
          <w:rFonts w:hint="eastAsia" w:ascii="楷体_GB2312" w:hAnsi="楷体_GB2312" w:eastAsia="楷体_GB2312" w:cs="楷体_GB2312"/>
          <w:sz w:val="32"/>
          <w:szCs w:val="32"/>
          <w:u w:val="none"/>
          <w:lang w:eastAsia="zh-CN"/>
        </w:rPr>
      </w:pPr>
      <w:r>
        <w:rPr>
          <w:rFonts w:hint="eastAsia" w:ascii="楷体_GB2312" w:hAnsi="楷体_GB2312" w:eastAsia="楷体_GB2312" w:cs="楷体_GB2312"/>
          <w:sz w:val="32"/>
          <w:szCs w:val="32"/>
          <w:u w:val="none"/>
          <w:lang w:eastAsia="zh-CN"/>
        </w:rPr>
        <w:t>（征求意见稿）</w:t>
      </w:r>
    </w:p>
    <w:p>
      <w:pPr>
        <w:adjustRightInd w:val="0"/>
        <w:snapToGrid w:val="0"/>
        <w:spacing w:line="560" w:lineRule="exact"/>
        <w:ind w:firstLine="640" w:firstLineChars="200"/>
        <w:rPr>
          <w:rFonts w:hint="eastAsia" w:ascii="仿宋_GB2312" w:hAnsi="仿宋_GB2312" w:eastAsia="仿宋_GB2312" w:cs="仿宋_GB2312"/>
          <w:sz w:val="32"/>
          <w:szCs w:val="32"/>
          <w:u w:val="none"/>
        </w:rPr>
      </w:pPr>
    </w:p>
    <w:p>
      <w:pPr>
        <w:adjustRightInd w:val="0"/>
        <w:snapToGrid w:val="0"/>
        <w:spacing w:line="560" w:lineRule="exact"/>
        <w:ind w:firstLine="640" w:firstLineChars="20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为</w:t>
      </w:r>
      <w:r>
        <w:rPr>
          <w:rFonts w:hint="eastAsia" w:ascii="仿宋_GB2312" w:hAnsi="仿宋_GB2312" w:cs="仿宋_GB2312"/>
          <w:sz w:val="32"/>
          <w:szCs w:val="32"/>
          <w:u w:val="none"/>
          <w:lang w:eastAsia="zh-CN"/>
        </w:rPr>
        <w:t>加快推进农业现代化进程</w:t>
      </w:r>
      <w:r>
        <w:rPr>
          <w:rFonts w:hint="eastAsia" w:ascii="仿宋_GB2312" w:hAnsi="仿宋_GB2312" w:eastAsia="仿宋_GB2312" w:cs="仿宋_GB2312"/>
          <w:sz w:val="32"/>
          <w:szCs w:val="32"/>
          <w:u w:val="none"/>
        </w:rPr>
        <w:t>，</w:t>
      </w:r>
      <w:r>
        <w:rPr>
          <w:rFonts w:hint="eastAsia" w:ascii="仿宋_GB2312" w:hAnsi="仿宋_GB2312" w:cs="仿宋_GB2312"/>
          <w:sz w:val="32"/>
          <w:szCs w:val="32"/>
          <w:u w:val="none"/>
          <w:lang w:eastAsia="zh-CN"/>
        </w:rPr>
        <w:t>促进</w:t>
      </w:r>
      <w:r>
        <w:rPr>
          <w:rFonts w:hint="eastAsia" w:ascii="仿宋_GB2312" w:hAnsi="仿宋_GB2312" w:eastAsia="仿宋_GB2312" w:cs="仿宋_GB2312"/>
          <w:sz w:val="32"/>
          <w:szCs w:val="32"/>
          <w:u w:val="none"/>
        </w:rPr>
        <w:t>崇明区农业农村高质量发展，建立健全农业农村设施财政性资产长效管护机制</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提高财政资金使用绩效，保障财政投入资金的安全性和有效性，</w:t>
      </w:r>
      <w:r>
        <w:rPr>
          <w:rFonts w:hint="eastAsia" w:ascii="仿宋_GB2312" w:hAnsi="仿宋_GB2312" w:eastAsia="仿宋_GB2312" w:cs="仿宋_GB2312"/>
          <w:sz w:val="32"/>
          <w:szCs w:val="32"/>
          <w:highlight w:val="none"/>
          <w:u w:val="none"/>
          <w:lang w:eastAsia="zh-CN"/>
        </w:rPr>
        <w:t>参照本市行政事业单位国有资产管理的相关要求和</w:t>
      </w:r>
      <w:r>
        <w:rPr>
          <w:rFonts w:hint="eastAsia" w:ascii="仿宋_GB2312" w:hAnsi="仿宋_GB2312" w:eastAsia="仿宋_GB2312" w:cs="仿宋_GB2312"/>
          <w:sz w:val="32"/>
          <w:szCs w:val="32"/>
          <w:u w:val="none"/>
          <w:lang w:val="en-US" w:eastAsia="zh-CN"/>
        </w:rPr>
        <w:t>《关于印发&lt;关于加强市级农业设施财政性资产管理的意见&gt;的通知》（沪农委〔2022〕7号）</w:t>
      </w:r>
      <w:r>
        <w:rPr>
          <w:rFonts w:hint="eastAsia" w:ascii="仿宋_GB2312" w:hAnsi="仿宋_GB2312" w:eastAsia="仿宋_GB2312" w:cs="仿宋_GB2312"/>
          <w:sz w:val="32"/>
          <w:szCs w:val="32"/>
          <w:highlight w:val="none"/>
          <w:u w:val="none"/>
          <w:lang w:eastAsia="zh-CN"/>
        </w:rPr>
        <w:t>等文件精神，</w:t>
      </w:r>
      <w:r>
        <w:rPr>
          <w:rFonts w:hint="eastAsia" w:ascii="仿宋_GB2312" w:hAnsi="仿宋_GB2312" w:eastAsia="仿宋_GB2312" w:cs="仿宋_GB2312"/>
          <w:sz w:val="32"/>
          <w:szCs w:val="32"/>
          <w:u w:val="none"/>
        </w:rPr>
        <w:t>结合我区实际，特制定本办法。</w:t>
      </w:r>
    </w:p>
    <w:p>
      <w:pPr>
        <w:adjustRightInd w:val="0"/>
        <w:snapToGrid w:val="0"/>
        <w:spacing w:line="560" w:lineRule="exact"/>
        <w:ind w:firstLine="640" w:firstLineChars="200"/>
        <w:rPr>
          <w:rFonts w:ascii="黑体" w:hAnsi="黑体" w:eastAsia="黑体" w:cs="黑体"/>
          <w:sz w:val="32"/>
          <w:szCs w:val="32"/>
          <w:highlight w:val="none"/>
          <w:u w:val="none"/>
        </w:rPr>
      </w:pPr>
      <w:r>
        <w:rPr>
          <w:rFonts w:hint="eastAsia" w:ascii="黑体" w:hAnsi="黑体" w:eastAsia="黑体" w:cs="黑体"/>
          <w:sz w:val="32"/>
          <w:szCs w:val="32"/>
          <w:highlight w:val="none"/>
          <w:u w:val="none"/>
          <w:lang w:eastAsia="zh-CN"/>
        </w:rPr>
        <w:t>一、</w:t>
      </w:r>
      <w:r>
        <w:rPr>
          <w:rFonts w:hint="eastAsia" w:ascii="黑体" w:hAnsi="黑体" w:eastAsia="黑体" w:cs="黑体"/>
          <w:sz w:val="32"/>
          <w:szCs w:val="32"/>
          <w:highlight w:val="none"/>
          <w:u w:val="none"/>
        </w:rPr>
        <w:t>管理范围</w:t>
      </w:r>
    </w:p>
    <w:p>
      <w:pPr>
        <w:adjustRightInd w:val="0"/>
        <w:snapToGrid w:val="0"/>
        <w:spacing w:line="560" w:lineRule="exact"/>
        <w:ind w:firstLine="640" w:firstLineChars="200"/>
        <w:rPr>
          <w:rFonts w:ascii="仿宋_GB2312" w:hAnsi="仿宋_GB2312" w:eastAsia="仿宋_GB2312" w:cs="仿宋_GB2312"/>
          <w:sz w:val="32"/>
          <w:szCs w:val="32"/>
          <w:u w:val="none"/>
        </w:rPr>
      </w:pPr>
      <w:r>
        <w:rPr>
          <w:rFonts w:hint="eastAsia" w:ascii="楷体_GB2312" w:hAnsi="楷体_GB2312" w:eastAsia="楷体_GB2312" w:cs="楷体_GB2312"/>
          <w:sz w:val="32"/>
          <w:szCs w:val="32"/>
          <w:u w:val="none"/>
        </w:rPr>
        <w:t>第一条</w:t>
      </w:r>
      <w:r>
        <w:rPr>
          <w:rFonts w:hint="eastAsia" w:ascii="仿宋_GB2312" w:hAnsi="仿宋_GB2312" w:eastAsia="仿宋_GB2312" w:cs="仿宋_GB2312"/>
          <w:sz w:val="32"/>
          <w:szCs w:val="32"/>
          <w:u w:val="none"/>
        </w:rPr>
        <w:t xml:space="preserve">  崇明区农业农村财政性资产是指由各级财政投入或参与投入崇明区农业农村发展项目所形成的设施、设备等资产，包括项目建设类、先建后补类等方式支持的农业农村生产基础设施、农业产业化提升和美丽乡村建设等各类农业农村项目资产。</w:t>
      </w:r>
    </w:p>
    <w:p>
      <w:pPr>
        <w:adjustRightInd w:val="0"/>
        <w:snapToGrid w:val="0"/>
        <w:spacing w:line="560" w:lineRule="exact"/>
        <w:ind w:firstLine="640" w:firstLineChars="200"/>
        <w:rPr>
          <w:rFonts w:ascii="仿宋_GB2312" w:hAnsi="仿宋_GB2312" w:eastAsia="仿宋_GB2312" w:cs="仿宋_GB2312"/>
          <w:sz w:val="32"/>
          <w:szCs w:val="32"/>
          <w:u w:val="none"/>
        </w:rPr>
      </w:pPr>
      <w:r>
        <w:rPr>
          <w:rFonts w:hint="eastAsia" w:ascii="楷体_GB2312" w:hAnsi="楷体_GB2312" w:eastAsia="楷体_GB2312" w:cs="楷体_GB2312"/>
          <w:sz w:val="32"/>
          <w:szCs w:val="32"/>
          <w:u w:val="none"/>
        </w:rPr>
        <w:t>第二条</w:t>
      </w:r>
      <w:r>
        <w:rPr>
          <w:rFonts w:hint="eastAsia" w:ascii="仿宋_GB2312" w:hAnsi="仿宋_GB2312" w:eastAsia="仿宋_GB2312" w:cs="仿宋_GB2312"/>
          <w:sz w:val="32"/>
          <w:szCs w:val="32"/>
          <w:u w:val="none"/>
        </w:rPr>
        <w:t xml:space="preserve">  崇明区农业农村财政性资产的实物形态主要包括道路(场地)、输配电、排灌、农业用房、围墙、温室大棚、生产(加工)流水线、鱼塘(池)、防疫、生态处理、公共服务等设施(设备)</w:t>
      </w:r>
      <w:r>
        <w:rPr>
          <w:rFonts w:hint="eastAsia" w:ascii="仿宋_GB2312" w:hAnsi="仿宋_GB2312" w:eastAsia="仿宋_GB2312" w:cs="仿宋_GB2312"/>
          <w:sz w:val="32"/>
          <w:szCs w:val="32"/>
          <w:highlight w:val="none"/>
          <w:u w:val="none"/>
        </w:rPr>
        <w:t>及其他机具、器具等。农业农</w:t>
      </w:r>
      <w:r>
        <w:rPr>
          <w:rFonts w:hint="eastAsia" w:ascii="仿宋_GB2312" w:hAnsi="仿宋_GB2312" w:eastAsia="仿宋_GB2312" w:cs="仿宋_GB2312"/>
          <w:sz w:val="32"/>
          <w:szCs w:val="32"/>
          <w:u w:val="none"/>
        </w:rPr>
        <w:t>村建设项目中发生的间接费用应合理摊入工程实物单体计价。</w:t>
      </w:r>
    </w:p>
    <w:p>
      <w:pPr>
        <w:adjustRightInd w:val="0"/>
        <w:snapToGrid w:val="0"/>
        <w:spacing w:line="560" w:lineRule="exact"/>
        <w:ind w:firstLine="640" w:firstLineChars="200"/>
        <w:rPr>
          <w:rFonts w:ascii="黑体" w:hAnsi="黑体" w:eastAsia="黑体" w:cs="黑体"/>
          <w:sz w:val="32"/>
          <w:szCs w:val="32"/>
          <w:highlight w:val="none"/>
          <w:u w:val="none"/>
        </w:rPr>
      </w:pPr>
      <w:r>
        <w:rPr>
          <w:rFonts w:hint="eastAsia" w:ascii="黑体" w:hAnsi="黑体" w:eastAsia="黑体" w:cs="黑体"/>
          <w:sz w:val="32"/>
          <w:szCs w:val="32"/>
          <w:highlight w:val="none"/>
          <w:u w:val="none"/>
          <w:lang w:eastAsia="zh-CN"/>
        </w:rPr>
        <w:t>二、</w:t>
      </w:r>
      <w:r>
        <w:rPr>
          <w:rFonts w:hint="eastAsia" w:ascii="黑体" w:hAnsi="黑体" w:eastAsia="黑体" w:cs="黑体"/>
          <w:sz w:val="32"/>
          <w:szCs w:val="32"/>
          <w:highlight w:val="none"/>
          <w:u w:val="none"/>
        </w:rPr>
        <w:t>适用范围</w:t>
      </w:r>
    </w:p>
    <w:p>
      <w:pPr>
        <w:adjustRightInd w:val="0"/>
        <w:snapToGrid w:val="0"/>
        <w:spacing w:line="560" w:lineRule="exact"/>
        <w:ind w:firstLine="640" w:firstLineChars="200"/>
        <w:rPr>
          <w:rFonts w:ascii="仿宋_GB2312" w:hAnsi="仿宋_GB2312" w:eastAsia="仿宋_GB2312" w:cs="仿宋_GB2312"/>
          <w:sz w:val="32"/>
          <w:szCs w:val="32"/>
          <w:u w:val="none"/>
        </w:rPr>
      </w:pPr>
      <w:r>
        <w:rPr>
          <w:rFonts w:hint="eastAsia" w:ascii="楷体_GB2312" w:hAnsi="楷体_GB2312" w:eastAsia="楷体_GB2312" w:cs="楷体_GB2312"/>
          <w:sz w:val="32"/>
          <w:szCs w:val="32"/>
          <w:u w:val="none"/>
        </w:rPr>
        <w:t>第三条</w:t>
      </w:r>
      <w:r>
        <w:rPr>
          <w:rFonts w:hint="eastAsia" w:ascii="仿宋_GB2312" w:hAnsi="仿宋_GB2312" w:eastAsia="仿宋_GB2312" w:cs="仿宋_GB2312"/>
          <w:sz w:val="32"/>
          <w:szCs w:val="32"/>
          <w:u w:val="none"/>
        </w:rPr>
        <w:t xml:space="preserve">  2022年及以后年度核验确定的农业</w:t>
      </w:r>
      <w:r>
        <w:rPr>
          <w:rFonts w:hint="eastAsia" w:ascii="仿宋_GB2312" w:hAnsi="仿宋_GB2312" w:eastAsia="仿宋_GB2312" w:cs="仿宋_GB2312"/>
          <w:sz w:val="32"/>
          <w:szCs w:val="32"/>
          <w:u w:val="none"/>
          <w:lang w:eastAsia="zh-CN"/>
        </w:rPr>
        <w:t>农村</w:t>
      </w:r>
      <w:r>
        <w:rPr>
          <w:rFonts w:hint="eastAsia" w:ascii="仿宋_GB2312" w:hAnsi="仿宋_GB2312" w:eastAsia="仿宋_GB2312" w:cs="仿宋_GB2312"/>
          <w:sz w:val="32"/>
          <w:szCs w:val="32"/>
          <w:u w:val="none"/>
        </w:rPr>
        <w:t>财政</w:t>
      </w:r>
      <w:r>
        <w:rPr>
          <w:rFonts w:hint="eastAsia" w:ascii="仿宋_GB2312" w:hAnsi="仿宋_GB2312" w:eastAsia="仿宋_GB2312" w:cs="仿宋_GB2312"/>
          <w:sz w:val="32"/>
          <w:szCs w:val="32"/>
          <w:highlight w:val="none"/>
          <w:u w:val="none"/>
        </w:rPr>
        <w:t>性资产，应严格按照本办法要求</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rPr>
        <w:t>做好管护移交、登记造册、权属界定、运行维护和规范处置等各项工作。2022年以前年度核验确定的，若区级部门报账的农业</w:t>
      </w:r>
      <w:r>
        <w:rPr>
          <w:rFonts w:hint="eastAsia" w:ascii="仿宋_GB2312" w:hAnsi="仿宋_GB2312" w:eastAsia="仿宋_GB2312" w:cs="仿宋_GB2312"/>
          <w:sz w:val="32"/>
          <w:szCs w:val="32"/>
          <w:highlight w:val="none"/>
          <w:u w:val="none"/>
          <w:lang w:eastAsia="zh-CN"/>
        </w:rPr>
        <w:t>农村</w:t>
      </w:r>
      <w:r>
        <w:rPr>
          <w:rFonts w:hint="eastAsia" w:ascii="仿宋_GB2312" w:hAnsi="仿宋_GB2312" w:eastAsia="仿宋_GB2312" w:cs="仿宋_GB2312"/>
          <w:sz w:val="32"/>
          <w:szCs w:val="32"/>
          <w:highlight w:val="none"/>
          <w:u w:val="none"/>
        </w:rPr>
        <w:t>项目能独立于其他项目核算，且相关资料齐全的，参照2022年及以后年度核验确定的农业</w:t>
      </w:r>
      <w:r>
        <w:rPr>
          <w:rFonts w:hint="eastAsia" w:ascii="仿宋_GB2312" w:hAnsi="仿宋_GB2312" w:eastAsia="仿宋_GB2312" w:cs="仿宋_GB2312"/>
          <w:sz w:val="32"/>
          <w:szCs w:val="32"/>
          <w:highlight w:val="none"/>
          <w:u w:val="none"/>
          <w:lang w:eastAsia="zh-CN"/>
        </w:rPr>
        <w:t>农村</w:t>
      </w:r>
      <w:r>
        <w:rPr>
          <w:rFonts w:hint="eastAsia" w:ascii="仿宋_GB2312" w:hAnsi="仿宋_GB2312" w:eastAsia="仿宋_GB2312" w:cs="仿宋_GB2312"/>
          <w:sz w:val="32"/>
          <w:szCs w:val="32"/>
          <w:highlight w:val="none"/>
          <w:u w:val="none"/>
        </w:rPr>
        <w:t>财政性资产进行管理。其他历年未独立核算的农业</w:t>
      </w:r>
      <w:r>
        <w:rPr>
          <w:rFonts w:hint="eastAsia" w:ascii="仿宋_GB2312" w:hAnsi="仿宋_GB2312" w:eastAsia="仿宋_GB2312" w:cs="仿宋_GB2312"/>
          <w:sz w:val="32"/>
          <w:szCs w:val="32"/>
          <w:highlight w:val="none"/>
          <w:u w:val="none"/>
          <w:lang w:eastAsia="zh-CN"/>
        </w:rPr>
        <w:t>农村</w:t>
      </w:r>
      <w:r>
        <w:rPr>
          <w:rFonts w:hint="eastAsia" w:ascii="仿宋_GB2312" w:hAnsi="仿宋_GB2312" w:eastAsia="仿宋_GB2312" w:cs="仿宋_GB2312"/>
          <w:sz w:val="32"/>
          <w:szCs w:val="32"/>
          <w:highlight w:val="none"/>
          <w:u w:val="none"/>
        </w:rPr>
        <w:t>财政性资产，在规定</w:t>
      </w:r>
      <w:r>
        <w:rPr>
          <w:rFonts w:hint="eastAsia" w:ascii="仿宋_GB2312" w:hAnsi="仿宋_GB2312" w:eastAsia="仿宋_GB2312" w:cs="仿宋_GB2312"/>
          <w:sz w:val="32"/>
          <w:szCs w:val="32"/>
          <w:u w:val="none"/>
        </w:rPr>
        <w:t>使用年限之内的</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应根据实际情况梳理完善资产管理各环节工作。</w:t>
      </w:r>
    </w:p>
    <w:p>
      <w:pPr>
        <w:adjustRightInd w:val="0"/>
        <w:snapToGrid w:val="0"/>
        <w:spacing w:line="560" w:lineRule="exact"/>
        <w:ind w:firstLine="640" w:firstLineChars="200"/>
        <w:rPr>
          <w:rFonts w:ascii="仿宋_GB2312" w:hAnsi="仿宋_GB2312" w:eastAsia="仿宋_GB2312" w:cs="仿宋_GB2312"/>
          <w:sz w:val="32"/>
          <w:szCs w:val="32"/>
          <w:u w:val="none"/>
        </w:rPr>
      </w:pPr>
      <w:r>
        <w:rPr>
          <w:rFonts w:hint="eastAsia" w:ascii="楷体_GB2312" w:hAnsi="楷体_GB2312" w:eastAsia="楷体_GB2312" w:cs="楷体_GB2312"/>
          <w:sz w:val="32"/>
          <w:szCs w:val="32"/>
          <w:u w:val="none"/>
        </w:rPr>
        <w:t>第四条</w:t>
      </w:r>
      <w:r>
        <w:rPr>
          <w:rFonts w:hint="eastAsia" w:ascii="仿宋_GB2312" w:hAnsi="仿宋_GB2312" w:eastAsia="仿宋_GB2312" w:cs="仿宋_GB2312"/>
          <w:sz w:val="32"/>
          <w:szCs w:val="32"/>
          <w:u w:val="none"/>
        </w:rPr>
        <w:t xml:space="preserve">  不直接形成固定资产的农业</w:t>
      </w:r>
      <w:r>
        <w:rPr>
          <w:rFonts w:hint="eastAsia" w:ascii="仿宋_GB2312" w:hAnsi="仿宋_GB2312" w:eastAsia="仿宋_GB2312" w:cs="仿宋_GB2312"/>
          <w:sz w:val="32"/>
          <w:szCs w:val="32"/>
          <w:u w:val="none"/>
          <w:lang w:eastAsia="zh-CN"/>
        </w:rPr>
        <w:t>农村</w:t>
      </w:r>
      <w:r>
        <w:rPr>
          <w:rFonts w:hint="eastAsia" w:ascii="仿宋_GB2312" w:hAnsi="仿宋_GB2312" w:eastAsia="仿宋_GB2312" w:cs="仿宋_GB2312"/>
          <w:sz w:val="32"/>
          <w:szCs w:val="32"/>
          <w:u w:val="none"/>
        </w:rPr>
        <w:t>直补类资金、产业化贴息贴费资金、考核奖补类资金等</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不属于农业</w:t>
      </w:r>
      <w:r>
        <w:rPr>
          <w:rFonts w:hint="eastAsia" w:ascii="仿宋_GB2312" w:hAnsi="仿宋_GB2312" w:eastAsia="仿宋_GB2312" w:cs="仿宋_GB2312"/>
          <w:sz w:val="32"/>
          <w:szCs w:val="32"/>
          <w:u w:val="none"/>
          <w:lang w:eastAsia="zh-CN"/>
        </w:rPr>
        <w:t>农村</w:t>
      </w:r>
      <w:r>
        <w:rPr>
          <w:rFonts w:hint="eastAsia" w:ascii="仿宋_GB2312" w:hAnsi="仿宋_GB2312" w:eastAsia="仿宋_GB2312" w:cs="仿宋_GB2312"/>
          <w:sz w:val="32"/>
          <w:szCs w:val="32"/>
          <w:u w:val="none"/>
        </w:rPr>
        <w:t>财政性资产管理范围。</w:t>
      </w:r>
    </w:p>
    <w:p>
      <w:pPr>
        <w:adjustRightInd w:val="0"/>
        <w:snapToGrid w:val="0"/>
        <w:spacing w:line="560" w:lineRule="exact"/>
        <w:ind w:firstLine="640" w:firstLineChars="200"/>
        <w:rPr>
          <w:rFonts w:ascii="黑体" w:hAnsi="黑体" w:eastAsia="黑体" w:cs="黑体"/>
          <w:sz w:val="32"/>
          <w:szCs w:val="32"/>
          <w:highlight w:val="none"/>
          <w:u w:val="none"/>
        </w:rPr>
      </w:pPr>
      <w:r>
        <w:rPr>
          <w:rFonts w:hint="eastAsia" w:ascii="黑体" w:hAnsi="黑体" w:eastAsia="黑体" w:cs="黑体"/>
          <w:sz w:val="32"/>
          <w:szCs w:val="32"/>
          <w:highlight w:val="none"/>
          <w:u w:val="none"/>
          <w:lang w:eastAsia="zh-CN"/>
        </w:rPr>
        <w:t>三、</w:t>
      </w:r>
      <w:r>
        <w:rPr>
          <w:rFonts w:hint="eastAsia" w:ascii="黑体" w:hAnsi="黑体" w:eastAsia="黑体" w:cs="黑体"/>
          <w:sz w:val="32"/>
          <w:szCs w:val="32"/>
          <w:highlight w:val="none"/>
          <w:u w:val="none"/>
        </w:rPr>
        <w:t>管理职责</w:t>
      </w:r>
    </w:p>
    <w:p>
      <w:pPr>
        <w:adjustRightInd w:val="0"/>
        <w:snapToGrid w:val="0"/>
        <w:spacing w:line="560" w:lineRule="exact"/>
        <w:ind w:firstLine="640" w:firstLineChars="200"/>
        <w:rPr>
          <w:rFonts w:ascii="仿宋_GB2312" w:hAnsi="仿宋_GB2312" w:eastAsia="仿宋_GB2312" w:cs="仿宋_GB2312"/>
          <w:sz w:val="32"/>
          <w:szCs w:val="32"/>
          <w:u w:val="none"/>
        </w:rPr>
      </w:pPr>
      <w:r>
        <w:rPr>
          <w:rFonts w:hint="eastAsia" w:ascii="楷体_GB2312" w:hAnsi="楷体_GB2312" w:eastAsia="楷体_GB2312" w:cs="楷体_GB2312"/>
          <w:sz w:val="32"/>
          <w:szCs w:val="32"/>
          <w:u w:val="none"/>
        </w:rPr>
        <w:t>第五条</w:t>
      </w:r>
      <w:r>
        <w:rPr>
          <w:rFonts w:hint="eastAsia" w:ascii="仿宋_GB2312" w:hAnsi="仿宋_GB2312" w:eastAsia="仿宋_GB2312" w:cs="仿宋_GB2312"/>
          <w:sz w:val="32"/>
          <w:szCs w:val="32"/>
          <w:u w:val="none"/>
        </w:rPr>
        <w:t xml:space="preserve">  区农业农村委负责农业农村财政性资产的日常监督管理工作，并</w:t>
      </w:r>
      <w:r>
        <w:rPr>
          <w:rFonts w:hint="eastAsia" w:ascii="仿宋_GB2312" w:hAnsi="仿宋_GB2312" w:eastAsia="仿宋_GB2312" w:cs="仿宋_GB2312"/>
          <w:sz w:val="32"/>
          <w:szCs w:val="32"/>
          <w:u w:val="none"/>
          <w:lang w:eastAsia="zh-CN"/>
        </w:rPr>
        <w:t>按市级部门要求</w:t>
      </w:r>
      <w:r>
        <w:rPr>
          <w:rFonts w:hint="eastAsia" w:ascii="仿宋_GB2312" w:hAnsi="仿宋_GB2312" w:eastAsia="仿宋_GB2312" w:cs="仿宋_GB2312"/>
          <w:sz w:val="32"/>
          <w:szCs w:val="32"/>
          <w:u w:val="none"/>
        </w:rPr>
        <w:t>建立农业农村设施资产管理管护制度</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区财政局积极配合做好农业农村财政性资产管理的各项工作。</w:t>
      </w:r>
    </w:p>
    <w:p>
      <w:pPr>
        <w:keepNext w:val="0"/>
        <w:keepLines w:val="0"/>
        <w:pageBreakBefore w:val="0"/>
        <w:widowControl w:val="0"/>
        <w:numPr>
          <w:ilvl w:val="-1"/>
          <w:numId w:val="0"/>
        </w:numPr>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仿宋_GB2312" w:hAnsi="仿宋_GB2312" w:eastAsia="仿宋_GB2312" w:cs="仿宋_GB2312"/>
          <w:sz w:val="32"/>
          <w:szCs w:val="32"/>
          <w:highlight w:val="none"/>
          <w:u w:val="none"/>
        </w:rPr>
      </w:pPr>
      <w:r>
        <w:rPr>
          <w:rFonts w:hint="eastAsia" w:ascii="楷体_GB2312" w:hAnsi="楷体_GB2312" w:eastAsia="楷体_GB2312" w:cs="楷体_GB2312"/>
          <w:sz w:val="32"/>
          <w:szCs w:val="32"/>
          <w:u w:val="none"/>
        </w:rPr>
        <w:t>第六条</w:t>
      </w: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pacing w:val="0"/>
          <w:sz w:val="32"/>
          <w:szCs w:val="32"/>
          <w:highlight w:val="none"/>
          <w:u w:val="none"/>
          <w:lang w:val="en-US" w:eastAsia="zh-CN"/>
        </w:rPr>
        <w:t>各乡镇人民政府作为具体管护单位，应建立健全长效管护制度，做好本辖区内农业财政性资产的管理工作，包括财政性资产的登记、入账、处置、运行和养护等工作。经批准由区级国有企业、区级集体企业管理农业农村集体性资产的，参照乡镇人民政府履行相关管理职责。各具体管护单位要与农业农村设施经营使用主体</w:t>
      </w:r>
      <w:r>
        <w:rPr>
          <w:rFonts w:hint="eastAsia" w:ascii="仿宋_GB2312" w:hAnsi="仿宋_GB2312" w:cs="仿宋_GB2312"/>
          <w:spacing w:val="0"/>
          <w:sz w:val="32"/>
          <w:szCs w:val="32"/>
          <w:highlight w:val="none"/>
          <w:u w:val="none"/>
          <w:lang w:val="en-US" w:eastAsia="zh-CN"/>
        </w:rPr>
        <w:t>、管护主体</w:t>
      </w:r>
      <w:r>
        <w:rPr>
          <w:rFonts w:hint="eastAsia" w:ascii="仿宋_GB2312" w:hAnsi="仿宋_GB2312" w:eastAsia="仿宋_GB2312" w:cs="仿宋_GB2312"/>
          <w:spacing w:val="0"/>
          <w:sz w:val="32"/>
          <w:szCs w:val="32"/>
          <w:highlight w:val="none"/>
          <w:u w:val="none"/>
          <w:lang w:val="en-US" w:eastAsia="zh-CN"/>
        </w:rPr>
        <w:t>签订使用和管护协议，明确经营内容、设施使用具体约定、双方权责义务、违约追究等事项。</w:t>
      </w:r>
    </w:p>
    <w:p>
      <w:pPr>
        <w:adjustRightInd w:val="0"/>
        <w:snapToGrid w:val="0"/>
        <w:spacing w:line="560" w:lineRule="exact"/>
        <w:ind w:firstLine="640" w:firstLineChars="200"/>
        <w:rPr>
          <w:rFonts w:hint="eastAsia" w:ascii="仿宋_GB2312" w:hAnsi="仿宋_GB2312" w:eastAsia="仿宋_GB2312" w:cs="仿宋_GB2312"/>
          <w:sz w:val="32"/>
          <w:szCs w:val="32"/>
          <w:highlight w:val="none"/>
          <w:u w:val="none"/>
        </w:rPr>
      </w:pPr>
      <w:r>
        <w:rPr>
          <w:rFonts w:hint="eastAsia" w:ascii="楷体_GB2312" w:hAnsi="楷体_GB2312" w:eastAsia="楷体_GB2312" w:cs="楷体_GB2312"/>
          <w:sz w:val="32"/>
          <w:szCs w:val="32"/>
          <w:highlight w:val="none"/>
          <w:u w:val="none"/>
        </w:rPr>
        <w:t>第七条</w:t>
      </w:r>
      <w:r>
        <w:rPr>
          <w:rFonts w:hint="eastAsia" w:ascii="仿宋_GB2312" w:hAnsi="仿宋_GB2312" w:eastAsia="仿宋_GB2312" w:cs="仿宋_GB2312"/>
          <w:sz w:val="32"/>
          <w:szCs w:val="32"/>
          <w:highlight w:val="none"/>
          <w:u w:val="none"/>
        </w:rPr>
        <w:t xml:space="preserve">  </w:t>
      </w:r>
      <w:r>
        <w:rPr>
          <w:rFonts w:hint="eastAsia" w:ascii="仿宋_GB2312" w:hAnsi="仿宋_GB2312" w:eastAsia="仿宋_GB2312" w:cs="仿宋_GB2312"/>
          <w:spacing w:val="0"/>
          <w:sz w:val="32"/>
          <w:szCs w:val="32"/>
          <w:highlight w:val="none"/>
          <w:u w:val="none"/>
          <w:lang w:val="en-US" w:eastAsia="zh-CN"/>
        </w:rPr>
        <w:t>社会主体、集体企业等主体作为农业农村财政性资产实际经营使用人，应按照规程合理使用和维护资产，充分发挥资产效能。</w:t>
      </w:r>
    </w:p>
    <w:p>
      <w:pPr>
        <w:adjustRightInd w:val="0"/>
        <w:snapToGrid w:val="0"/>
        <w:spacing w:line="560" w:lineRule="exact"/>
        <w:ind w:firstLine="640" w:firstLineChars="200"/>
        <w:rPr>
          <w:rFonts w:ascii="黑体" w:hAnsi="黑体" w:eastAsia="黑体" w:cs="黑体"/>
          <w:sz w:val="32"/>
          <w:szCs w:val="32"/>
          <w:highlight w:val="none"/>
          <w:u w:val="none"/>
        </w:rPr>
      </w:pPr>
      <w:r>
        <w:rPr>
          <w:rFonts w:hint="eastAsia" w:ascii="黑体" w:hAnsi="黑体" w:eastAsia="黑体" w:cs="黑体"/>
          <w:sz w:val="32"/>
          <w:szCs w:val="32"/>
          <w:highlight w:val="none"/>
          <w:u w:val="none"/>
          <w:lang w:eastAsia="zh-CN"/>
        </w:rPr>
        <w:t>四、</w:t>
      </w:r>
      <w:r>
        <w:rPr>
          <w:rFonts w:hint="eastAsia" w:ascii="黑体" w:hAnsi="黑体" w:eastAsia="黑体" w:cs="黑体"/>
          <w:sz w:val="32"/>
          <w:szCs w:val="32"/>
          <w:highlight w:val="none"/>
          <w:u w:val="none"/>
        </w:rPr>
        <w:t>权属界定</w:t>
      </w:r>
    </w:p>
    <w:p>
      <w:pPr>
        <w:adjustRightInd w:val="0"/>
        <w:snapToGrid w:val="0"/>
        <w:spacing w:line="560" w:lineRule="exact"/>
        <w:ind w:firstLine="640" w:firstLineChars="200"/>
        <w:rPr>
          <w:rFonts w:ascii="仿宋_GB2312" w:hAnsi="仿宋_GB2312" w:eastAsia="仿宋_GB2312" w:cs="仿宋_GB2312"/>
          <w:sz w:val="32"/>
          <w:szCs w:val="32"/>
          <w:u w:val="none"/>
        </w:rPr>
      </w:pPr>
      <w:r>
        <w:rPr>
          <w:rFonts w:hint="eastAsia" w:ascii="楷体_GB2312" w:hAnsi="楷体_GB2312" w:eastAsia="楷体_GB2312" w:cs="楷体_GB2312"/>
          <w:sz w:val="32"/>
          <w:szCs w:val="32"/>
          <w:u w:val="none"/>
        </w:rPr>
        <w:t>第八条</w:t>
      </w:r>
      <w:r>
        <w:rPr>
          <w:rFonts w:hint="eastAsia" w:ascii="仿宋_GB2312" w:hAnsi="仿宋_GB2312" w:eastAsia="仿宋_GB2312" w:cs="仿宋_GB2312"/>
          <w:sz w:val="32"/>
          <w:szCs w:val="32"/>
          <w:u w:val="none"/>
        </w:rPr>
        <w:t xml:space="preserve">  农业农村财政性资产按照“谁投入、谁所有”的权属界定原则</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根据项目财务决算和投资来源界定资产权属。由各级财政</w:t>
      </w:r>
      <w:r>
        <w:rPr>
          <w:rFonts w:hint="eastAsia" w:ascii="仿宋_GB2312" w:hAnsi="仿宋_GB2312" w:eastAsia="仿宋_GB2312" w:cs="仿宋_GB2312"/>
          <w:sz w:val="32"/>
          <w:szCs w:val="32"/>
          <w:highlight w:val="none"/>
          <w:u w:val="none"/>
        </w:rPr>
        <w:t>投入形成的资产为财政性资产</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rPr>
        <w:t>应按照竣工项目的投资比例</w:t>
      </w:r>
      <w:r>
        <w:rPr>
          <w:rFonts w:hint="eastAsia" w:ascii="仿宋_GB2312" w:hAnsi="仿宋_GB2312" w:cs="仿宋_GB2312"/>
          <w:sz w:val="32"/>
          <w:szCs w:val="32"/>
          <w:highlight w:val="none"/>
          <w:u w:val="none"/>
          <w:lang w:eastAsia="zh-CN"/>
        </w:rPr>
        <w:t>或投入资产的实物形态</w:t>
      </w:r>
      <w:r>
        <w:rPr>
          <w:rFonts w:hint="eastAsia" w:ascii="仿宋_GB2312" w:hAnsi="仿宋_GB2312" w:eastAsia="仿宋_GB2312" w:cs="仿宋_GB2312"/>
          <w:sz w:val="32"/>
          <w:szCs w:val="32"/>
          <w:highlight w:val="none"/>
          <w:u w:val="none"/>
        </w:rPr>
        <w:t>，予以界定明确属于政府或国资所有</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rPr>
        <w:t>社会主体、集体企业投资而形成的资产按相应比例归投资方所</w:t>
      </w:r>
      <w:r>
        <w:rPr>
          <w:rFonts w:hint="eastAsia" w:ascii="仿宋_GB2312" w:hAnsi="仿宋_GB2312" w:eastAsia="仿宋_GB2312" w:cs="仿宋_GB2312"/>
          <w:sz w:val="32"/>
          <w:szCs w:val="32"/>
          <w:u w:val="none"/>
        </w:rPr>
        <w:t>有。</w:t>
      </w:r>
    </w:p>
    <w:p>
      <w:pPr>
        <w:adjustRightInd w:val="0"/>
        <w:snapToGrid w:val="0"/>
        <w:spacing w:line="560" w:lineRule="exact"/>
        <w:ind w:firstLine="640" w:firstLineChars="200"/>
        <w:rPr>
          <w:rFonts w:ascii="黑体" w:hAnsi="黑体" w:eastAsia="黑体" w:cs="黑体"/>
          <w:sz w:val="32"/>
          <w:szCs w:val="32"/>
          <w:highlight w:val="none"/>
          <w:u w:val="none"/>
        </w:rPr>
      </w:pPr>
      <w:r>
        <w:rPr>
          <w:rFonts w:hint="eastAsia" w:ascii="黑体" w:hAnsi="黑体" w:eastAsia="黑体" w:cs="黑体"/>
          <w:sz w:val="32"/>
          <w:szCs w:val="32"/>
          <w:highlight w:val="none"/>
          <w:u w:val="none"/>
          <w:lang w:eastAsia="zh-CN"/>
        </w:rPr>
        <w:t>五、</w:t>
      </w:r>
      <w:r>
        <w:rPr>
          <w:rFonts w:hint="eastAsia" w:ascii="黑体" w:hAnsi="黑体" w:eastAsia="黑体" w:cs="黑体"/>
          <w:sz w:val="32"/>
          <w:szCs w:val="32"/>
          <w:highlight w:val="none"/>
          <w:u w:val="none"/>
        </w:rPr>
        <w:t xml:space="preserve">移交程序 </w:t>
      </w:r>
    </w:p>
    <w:p>
      <w:pPr>
        <w:adjustRightInd w:val="0"/>
        <w:snapToGrid w:val="0"/>
        <w:spacing w:line="560" w:lineRule="exact"/>
        <w:ind w:firstLine="640" w:firstLineChars="200"/>
        <w:rPr>
          <w:rFonts w:hint="eastAsia" w:ascii="仿宋_GB2312" w:hAnsi="仿宋_GB2312" w:eastAsia="仿宋_GB2312" w:cs="仿宋_GB2312"/>
          <w:sz w:val="32"/>
          <w:szCs w:val="32"/>
          <w:highlight w:val="none"/>
          <w:u w:val="none"/>
        </w:rPr>
      </w:pPr>
      <w:r>
        <w:rPr>
          <w:rFonts w:hint="eastAsia" w:ascii="楷体_GB2312" w:hAnsi="楷体_GB2312" w:eastAsia="楷体_GB2312" w:cs="楷体_GB2312"/>
          <w:sz w:val="32"/>
          <w:szCs w:val="32"/>
          <w:u w:val="none"/>
        </w:rPr>
        <w:t>第九条</w:t>
      </w:r>
      <w:r>
        <w:rPr>
          <w:rFonts w:hint="eastAsia" w:ascii="仿宋_GB2312" w:hAnsi="仿宋_GB2312" w:eastAsia="仿宋_GB2312" w:cs="仿宋_GB2312"/>
          <w:sz w:val="32"/>
          <w:szCs w:val="32"/>
          <w:u w:val="none"/>
        </w:rPr>
        <w:t xml:space="preserve">  农业</w:t>
      </w:r>
      <w:r>
        <w:rPr>
          <w:rFonts w:hint="eastAsia" w:ascii="仿宋_GB2312" w:hAnsi="仿宋_GB2312" w:eastAsia="仿宋_GB2312" w:cs="仿宋_GB2312"/>
          <w:sz w:val="32"/>
          <w:szCs w:val="32"/>
          <w:highlight w:val="none"/>
          <w:u w:val="none"/>
        </w:rPr>
        <w:t>农村财政性资产在完成项目竣工验收(或购置核验)后，应及时做好相应的使用权移交手续。移交各方应清点资产后签署</w:t>
      </w:r>
      <w:r>
        <w:rPr>
          <w:rFonts w:hint="eastAsia" w:ascii="宋体" w:hAnsi="宋体" w:cs="宋体"/>
          <w:sz w:val="32"/>
          <w:szCs w:val="32"/>
          <w:highlight w:val="none"/>
          <w:u w:val="none"/>
        </w:rPr>
        <w:t>《</w:t>
      </w:r>
      <w:r>
        <w:rPr>
          <w:rFonts w:hint="eastAsia" w:ascii="仿宋_GB2312" w:hAnsi="仿宋_GB2312" w:eastAsia="仿宋_GB2312" w:cs="仿宋_GB2312"/>
          <w:sz w:val="32"/>
          <w:szCs w:val="32"/>
          <w:highlight w:val="none"/>
          <w:u w:val="none"/>
        </w:rPr>
        <w:t>崇明区农业农村财政性资产移交清单</w:t>
      </w:r>
      <w:r>
        <w:rPr>
          <w:rFonts w:hint="eastAsia" w:ascii="宋体" w:hAnsi="宋体" w:cs="宋体"/>
          <w:sz w:val="32"/>
          <w:szCs w:val="32"/>
          <w:highlight w:val="none"/>
          <w:u w:val="none"/>
        </w:rPr>
        <w:t>》</w:t>
      </w:r>
      <w:r>
        <w:rPr>
          <w:rFonts w:hint="eastAsia" w:ascii="仿宋_GB2312" w:hAnsi="仿宋_GB2312" w:eastAsia="仿宋_GB2312" w:cs="仿宋_GB2312"/>
          <w:sz w:val="32"/>
          <w:szCs w:val="32"/>
          <w:highlight w:val="none"/>
          <w:u w:val="none"/>
        </w:rPr>
        <w:t>及</w:t>
      </w:r>
      <w:r>
        <w:rPr>
          <w:rFonts w:hint="eastAsia" w:ascii="宋体" w:hAnsi="宋体" w:cs="宋体"/>
          <w:sz w:val="32"/>
          <w:szCs w:val="32"/>
          <w:highlight w:val="none"/>
          <w:u w:val="none"/>
        </w:rPr>
        <w:t>《</w:t>
      </w:r>
      <w:r>
        <w:rPr>
          <w:rFonts w:hint="eastAsia" w:ascii="仿宋_GB2312" w:hAnsi="仿宋_GB2312" w:eastAsia="仿宋_GB2312" w:cs="仿宋_GB2312"/>
          <w:sz w:val="32"/>
          <w:szCs w:val="32"/>
          <w:highlight w:val="none"/>
          <w:u w:val="none"/>
        </w:rPr>
        <w:t>崇明区农业农村财政性资产使用和管护协议</w:t>
      </w:r>
      <w:r>
        <w:rPr>
          <w:rFonts w:hint="eastAsia" w:ascii="宋体" w:hAnsi="宋体" w:cs="宋体"/>
          <w:sz w:val="32"/>
          <w:szCs w:val="32"/>
          <w:highlight w:val="none"/>
          <w:u w:val="none"/>
        </w:rPr>
        <w:t>》</w:t>
      </w:r>
      <w:r>
        <w:rPr>
          <w:rFonts w:hint="eastAsia" w:ascii="仿宋_GB2312" w:hAnsi="仿宋_GB2312" w:eastAsia="仿宋_GB2312" w:cs="仿宋_GB2312"/>
          <w:sz w:val="32"/>
          <w:szCs w:val="32"/>
          <w:highlight w:val="none"/>
          <w:u w:val="none"/>
        </w:rPr>
        <w:t>，各乡镇人民政府及有关单位负责与社会主体、集体企业确认财政性资产中自筹资金的确认份额，将《崇明区农业农村财政性资产确认单》连同上述移交清单、协议报区农业农村委和区财政局备案。</w:t>
      </w:r>
    </w:p>
    <w:p>
      <w:pPr>
        <w:adjustRightInd w:val="0"/>
        <w:snapToGrid w:val="0"/>
        <w:spacing w:line="560" w:lineRule="exact"/>
        <w:ind w:firstLine="640" w:firstLineChars="200"/>
        <w:rPr>
          <w:rFonts w:ascii="仿宋_GB2312" w:hAnsi="仿宋_GB2312" w:eastAsia="仿宋_GB2312" w:cs="仿宋_GB2312"/>
          <w:sz w:val="32"/>
          <w:szCs w:val="32"/>
          <w:u w:val="none"/>
        </w:rPr>
      </w:pPr>
      <w:r>
        <w:rPr>
          <w:rFonts w:hint="eastAsia" w:ascii="楷体_GB2312" w:hAnsi="楷体_GB2312" w:eastAsia="楷体_GB2312" w:cs="楷体_GB2312"/>
          <w:sz w:val="32"/>
          <w:szCs w:val="32"/>
          <w:highlight w:val="none"/>
          <w:u w:val="none"/>
        </w:rPr>
        <w:t>第十条</w:t>
      </w:r>
      <w:r>
        <w:rPr>
          <w:rFonts w:hint="eastAsia" w:ascii="仿宋_GB2312" w:hAnsi="仿宋_GB2312" w:eastAsia="仿宋_GB2312" w:cs="仿宋_GB2312"/>
          <w:sz w:val="32"/>
          <w:szCs w:val="32"/>
          <w:highlight w:val="none"/>
          <w:u w:val="none"/>
        </w:rPr>
        <w:t xml:space="preserve"> </w:t>
      </w:r>
      <w:r>
        <w:rPr>
          <w:rFonts w:hint="eastAsia" w:ascii="仿宋_GB2312" w:hAnsi="仿宋_GB2312" w:cs="仿宋_GB2312"/>
          <w:sz w:val="32"/>
          <w:szCs w:val="32"/>
          <w:highlight w:val="none"/>
          <w:u w:val="none"/>
          <w:lang w:val="en-US" w:eastAsia="zh-CN"/>
        </w:rPr>
        <w:t xml:space="preserve"> </w:t>
      </w:r>
      <w:r>
        <w:rPr>
          <w:rFonts w:hint="eastAsia" w:ascii="仿宋_GB2312" w:hAnsi="仿宋_GB2312" w:eastAsia="仿宋_GB2312" w:cs="仿宋_GB2312"/>
          <w:sz w:val="32"/>
          <w:szCs w:val="32"/>
          <w:highlight w:val="none"/>
          <w:u w:val="none"/>
        </w:rPr>
        <w:t>由区级部门进行资金报账的项目，若报账的农业</w:t>
      </w:r>
      <w:r>
        <w:rPr>
          <w:rFonts w:hint="eastAsia" w:ascii="仿宋_GB2312" w:hAnsi="仿宋_GB2312" w:eastAsia="仿宋_GB2312" w:cs="仿宋_GB2312"/>
          <w:sz w:val="32"/>
          <w:szCs w:val="32"/>
          <w:highlight w:val="none"/>
          <w:u w:val="none"/>
          <w:lang w:eastAsia="zh-CN"/>
        </w:rPr>
        <w:t>农村</w:t>
      </w:r>
      <w:r>
        <w:rPr>
          <w:rFonts w:hint="eastAsia" w:ascii="仿宋_GB2312" w:hAnsi="仿宋_GB2312" w:eastAsia="仿宋_GB2312" w:cs="仿宋_GB2312"/>
          <w:sz w:val="32"/>
          <w:szCs w:val="32"/>
          <w:highlight w:val="none"/>
          <w:u w:val="none"/>
        </w:rPr>
        <w:t>项目能独立于其他项目核算，且相关资料齐全的，项目资产移交至属地乡镇，视同乡镇人民政</w:t>
      </w:r>
      <w:bookmarkStart w:id="0" w:name="_GoBack"/>
      <w:bookmarkEnd w:id="0"/>
      <w:r>
        <w:rPr>
          <w:rFonts w:hint="eastAsia" w:ascii="仿宋_GB2312" w:hAnsi="仿宋_GB2312" w:eastAsia="仿宋_GB2312" w:cs="仿宋_GB2312"/>
          <w:sz w:val="32"/>
          <w:szCs w:val="32"/>
          <w:highlight w:val="none"/>
          <w:u w:val="none"/>
        </w:rPr>
        <w:t>府及有关单位资金报账的项目管理。由各乡镇人民政府及有关单位进行资金报账的项目，在项目</w:t>
      </w:r>
      <w:r>
        <w:rPr>
          <w:rFonts w:hint="eastAsia" w:ascii="仿宋_GB2312" w:hAnsi="仿宋_GB2312" w:eastAsia="仿宋_GB2312" w:cs="仿宋_GB2312"/>
          <w:sz w:val="32"/>
          <w:szCs w:val="32"/>
          <w:u w:val="none"/>
        </w:rPr>
        <w:t>竣工验收后及时做好资产的登记和入账工作。</w:t>
      </w:r>
    </w:p>
    <w:p>
      <w:pPr>
        <w:adjustRightInd w:val="0"/>
        <w:snapToGrid w:val="0"/>
        <w:spacing w:line="560" w:lineRule="exact"/>
        <w:ind w:firstLine="640" w:firstLineChars="200"/>
        <w:rPr>
          <w:rFonts w:ascii="黑体" w:hAnsi="黑体" w:eastAsia="黑体" w:cs="黑体"/>
          <w:sz w:val="32"/>
          <w:szCs w:val="32"/>
          <w:highlight w:val="none"/>
          <w:u w:val="none"/>
        </w:rPr>
      </w:pPr>
      <w:r>
        <w:rPr>
          <w:rFonts w:hint="eastAsia" w:ascii="黑体" w:hAnsi="黑体" w:eastAsia="黑体" w:cs="黑体"/>
          <w:sz w:val="32"/>
          <w:szCs w:val="32"/>
          <w:highlight w:val="none"/>
          <w:u w:val="none"/>
          <w:lang w:eastAsia="zh-CN"/>
        </w:rPr>
        <w:t>六、</w:t>
      </w:r>
      <w:r>
        <w:rPr>
          <w:rFonts w:hint="eastAsia" w:ascii="黑体" w:hAnsi="黑体" w:eastAsia="黑体" w:cs="黑体"/>
          <w:sz w:val="32"/>
          <w:szCs w:val="32"/>
          <w:highlight w:val="none"/>
          <w:u w:val="none"/>
        </w:rPr>
        <w:t>使用年限</w:t>
      </w:r>
    </w:p>
    <w:p>
      <w:pPr>
        <w:adjustRightInd w:val="0"/>
        <w:snapToGrid w:val="0"/>
        <w:spacing w:line="560" w:lineRule="exact"/>
        <w:ind w:firstLine="640" w:firstLineChars="200"/>
        <w:rPr>
          <w:rFonts w:ascii="仿宋_GB2312" w:hAnsi="仿宋_GB2312" w:eastAsia="仿宋_GB2312" w:cs="仿宋_GB2312"/>
          <w:sz w:val="32"/>
          <w:szCs w:val="32"/>
          <w:u w:val="none"/>
        </w:rPr>
      </w:pPr>
      <w:r>
        <w:rPr>
          <w:rFonts w:hint="eastAsia" w:ascii="楷体_GB2312" w:hAnsi="楷体_GB2312" w:eastAsia="楷体_GB2312" w:cs="楷体_GB2312"/>
          <w:sz w:val="32"/>
          <w:szCs w:val="32"/>
          <w:u w:val="none"/>
        </w:rPr>
        <w:t>第十一条</w:t>
      </w:r>
      <w:r>
        <w:rPr>
          <w:rFonts w:hint="eastAsia" w:ascii="仿宋_GB2312" w:hAnsi="仿宋_GB2312" w:eastAsia="仿宋_GB2312" w:cs="仿宋_GB2312"/>
          <w:sz w:val="32"/>
          <w:szCs w:val="32"/>
          <w:u w:val="none"/>
        </w:rPr>
        <w:t xml:space="preserve">  农业农村财政性资产设定最低使用年限</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并自项目竣工验收(或购置核验)之日起计算。</w:t>
      </w:r>
      <w:r>
        <w:rPr>
          <w:rFonts w:hint="eastAsia" w:ascii="仿宋_GB2312" w:hAnsi="仿宋_GB2312" w:eastAsia="仿宋_GB2312" w:cs="仿宋_GB2312"/>
          <w:sz w:val="32"/>
          <w:szCs w:val="32"/>
          <w:highlight w:val="none"/>
          <w:u w:val="none"/>
        </w:rPr>
        <w:t>对于使用年限尚不明确的其他农业</w:t>
      </w:r>
      <w:r>
        <w:rPr>
          <w:rFonts w:hint="eastAsia" w:ascii="仿宋_GB2312" w:hAnsi="仿宋_GB2312" w:eastAsia="仿宋_GB2312" w:cs="仿宋_GB2312"/>
          <w:sz w:val="32"/>
          <w:szCs w:val="32"/>
          <w:highlight w:val="none"/>
          <w:u w:val="none"/>
          <w:lang w:eastAsia="zh-CN"/>
        </w:rPr>
        <w:t>农村</w:t>
      </w:r>
      <w:r>
        <w:rPr>
          <w:rFonts w:hint="eastAsia" w:ascii="仿宋_GB2312" w:hAnsi="仿宋_GB2312" w:eastAsia="仿宋_GB2312" w:cs="仿宋_GB2312"/>
          <w:sz w:val="32"/>
          <w:szCs w:val="32"/>
          <w:highlight w:val="none"/>
          <w:u w:val="none"/>
        </w:rPr>
        <w:t>设施，参照行业标准、设计标准等确定使用年限，确实无法提供的，各乡镇人民政府及有关单位应委托具有相应资质的</w:t>
      </w:r>
      <w:r>
        <w:rPr>
          <w:rFonts w:hint="eastAsia" w:ascii="仿宋_GB2312" w:hAnsi="仿宋_GB2312" w:eastAsia="仿宋_GB2312" w:cs="仿宋_GB2312"/>
          <w:sz w:val="32"/>
          <w:szCs w:val="32"/>
          <w:u w:val="none"/>
        </w:rPr>
        <w:t>社会专业机构</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合理评估并确定使用年限，并报区农业农村委及区财政局备案。主要设施最低使用年限如下:</w:t>
      </w:r>
    </w:p>
    <w:tbl>
      <w:tblPr>
        <w:tblStyle w:val="12"/>
        <w:tblW w:w="8638" w:type="dxa"/>
        <w:tblInd w:w="6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54"/>
        <w:gridCol w:w="4323"/>
        <w:gridCol w:w="17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502" w:hRule="atLeast"/>
        </w:trPr>
        <w:tc>
          <w:tcPr>
            <w:tcW w:w="2554" w:type="dxa"/>
            <w:tcBorders>
              <w:top w:val="single" w:color="000000" w:sz="2" w:space="0"/>
              <w:bottom w:val="single" w:color="000000" w:sz="2" w:space="0"/>
            </w:tcBorders>
            <w:vAlign w:val="center"/>
          </w:tcPr>
          <w:p>
            <w:pPr>
              <w:adjustRightInd w:val="0"/>
              <w:snapToGrid w:val="0"/>
              <w:spacing w:line="300" w:lineRule="exact"/>
              <w:jc w:val="center"/>
              <w:rPr>
                <w:rFonts w:ascii="黑体" w:hAnsi="黑体" w:eastAsia="黑体" w:cs="黑体"/>
                <w:sz w:val="28"/>
                <w:szCs w:val="28"/>
                <w:u w:val="none"/>
              </w:rPr>
            </w:pPr>
            <w:r>
              <w:rPr>
                <w:rFonts w:hint="eastAsia" w:ascii="黑体" w:hAnsi="黑体" w:eastAsia="黑体" w:cs="黑体"/>
                <w:spacing w:val="2"/>
                <w:sz w:val="28"/>
                <w:szCs w:val="28"/>
                <w:u w:val="none"/>
              </w:rPr>
              <w:t>设施类别</w:t>
            </w:r>
          </w:p>
        </w:tc>
        <w:tc>
          <w:tcPr>
            <w:tcW w:w="4323" w:type="dxa"/>
            <w:tcBorders>
              <w:top w:val="single" w:color="000000" w:sz="2" w:space="0"/>
              <w:bottom w:val="single" w:color="000000" w:sz="2" w:space="0"/>
            </w:tcBorders>
            <w:vAlign w:val="center"/>
          </w:tcPr>
          <w:p>
            <w:pPr>
              <w:adjustRightInd w:val="0"/>
              <w:snapToGrid w:val="0"/>
              <w:spacing w:line="300" w:lineRule="exact"/>
              <w:jc w:val="center"/>
              <w:rPr>
                <w:rFonts w:ascii="黑体" w:hAnsi="黑体" w:eastAsia="黑体" w:cs="黑体"/>
                <w:sz w:val="28"/>
                <w:szCs w:val="28"/>
                <w:u w:val="none"/>
              </w:rPr>
            </w:pPr>
            <w:r>
              <w:rPr>
                <w:rFonts w:hint="eastAsia" w:ascii="黑体" w:hAnsi="黑体" w:eastAsia="黑体" w:cs="黑体"/>
                <w:spacing w:val="-3"/>
                <w:sz w:val="28"/>
                <w:szCs w:val="28"/>
                <w:u w:val="none"/>
              </w:rPr>
              <w:t>设施名称</w:t>
            </w:r>
          </w:p>
        </w:tc>
        <w:tc>
          <w:tcPr>
            <w:tcW w:w="1761" w:type="dxa"/>
            <w:tcBorders>
              <w:top w:val="single" w:color="000000" w:sz="2" w:space="0"/>
              <w:bottom w:val="single" w:color="000000" w:sz="2" w:space="0"/>
            </w:tcBorders>
            <w:vAlign w:val="center"/>
          </w:tcPr>
          <w:p>
            <w:pPr>
              <w:adjustRightInd w:val="0"/>
              <w:snapToGrid w:val="0"/>
              <w:spacing w:line="300" w:lineRule="exact"/>
              <w:jc w:val="center"/>
              <w:rPr>
                <w:rFonts w:ascii="黑体" w:hAnsi="黑体" w:eastAsia="黑体" w:cs="黑体"/>
                <w:sz w:val="28"/>
                <w:szCs w:val="28"/>
                <w:u w:val="none"/>
              </w:rPr>
            </w:pPr>
            <w:r>
              <w:rPr>
                <w:rFonts w:hint="eastAsia" w:ascii="黑体" w:hAnsi="黑体" w:eastAsia="黑体" w:cs="黑体"/>
                <w:spacing w:val="-2"/>
                <w:sz w:val="28"/>
                <w:szCs w:val="28"/>
                <w:u w:val="none"/>
              </w:rPr>
              <w:t>使用年限(年)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8" w:hRule="atLeast"/>
        </w:trPr>
        <w:tc>
          <w:tcPr>
            <w:tcW w:w="2554" w:type="dxa"/>
            <w:tcBorders>
              <w:top w:val="single" w:color="000000" w:sz="2" w:space="0"/>
              <w:bottom w:val="single" w:color="000000" w:sz="2" w:space="0"/>
            </w:tcBorders>
            <w:vAlign w:val="center"/>
          </w:tcPr>
          <w:p>
            <w:pPr>
              <w:adjustRightInd w:val="0"/>
              <w:snapToGrid w:val="0"/>
              <w:spacing w:line="300" w:lineRule="exact"/>
              <w:jc w:val="center"/>
              <w:rPr>
                <w:rFonts w:ascii="仿宋_GB2312" w:hAnsi="仿宋_GB2312" w:eastAsia="仿宋_GB2312" w:cs="仿宋_GB2312"/>
                <w:sz w:val="28"/>
                <w:szCs w:val="28"/>
                <w:u w:val="none"/>
              </w:rPr>
            </w:pPr>
            <w:r>
              <w:rPr>
                <w:rFonts w:hint="eastAsia" w:ascii="仿宋_GB2312" w:hAnsi="仿宋_GB2312" w:eastAsia="仿宋_GB2312" w:cs="仿宋_GB2312"/>
                <w:spacing w:val="2"/>
                <w:sz w:val="28"/>
                <w:szCs w:val="28"/>
                <w:u w:val="none"/>
              </w:rPr>
              <w:t>田间道路</w:t>
            </w:r>
          </w:p>
        </w:tc>
        <w:tc>
          <w:tcPr>
            <w:tcW w:w="4323" w:type="dxa"/>
            <w:tcBorders>
              <w:top w:val="single" w:color="000000" w:sz="2" w:space="0"/>
              <w:bottom w:val="single" w:color="000000" w:sz="2" w:space="0"/>
            </w:tcBorders>
            <w:vAlign w:val="center"/>
          </w:tcPr>
          <w:p>
            <w:pPr>
              <w:adjustRightInd w:val="0"/>
              <w:snapToGrid w:val="0"/>
              <w:spacing w:line="300" w:lineRule="exact"/>
              <w:jc w:val="center"/>
              <w:rPr>
                <w:rFonts w:ascii="仿宋_GB2312" w:hAnsi="仿宋_GB2312" w:eastAsia="仿宋_GB2312" w:cs="仿宋_GB2312"/>
                <w:sz w:val="28"/>
                <w:szCs w:val="28"/>
                <w:u w:val="none"/>
              </w:rPr>
            </w:pPr>
            <w:r>
              <w:rPr>
                <w:rFonts w:hint="eastAsia" w:ascii="仿宋_GB2312" w:hAnsi="仿宋_GB2312" w:eastAsia="仿宋_GB2312" w:cs="仿宋_GB2312"/>
                <w:spacing w:val="1"/>
                <w:sz w:val="28"/>
                <w:szCs w:val="28"/>
                <w:u w:val="none"/>
              </w:rPr>
              <w:t>水泥、沥青路</w:t>
            </w:r>
          </w:p>
        </w:tc>
        <w:tc>
          <w:tcPr>
            <w:tcW w:w="1761" w:type="dxa"/>
            <w:tcBorders>
              <w:top w:val="single" w:color="000000" w:sz="2" w:space="0"/>
              <w:bottom w:val="single" w:color="000000" w:sz="2" w:space="0"/>
            </w:tcBorders>
            <w:vAlign w:val="center"/>
          </w:tcPr>
          <w:p>
            <w:pPr>
              <w:adjustRightInd w:val="0"/>
              <w:snapToGrid w:val="0"/>
              <w:spacing w:line="300" w:lineRule="exact"/>
              <w:jc w:val="center"/>
              <w:rPr>
                <w:rFonts w:ascii="仿宋_GB2312" w:hAnsi="仿宋_GB2312" w:eastAsia="仿宋_GB2312" w:cs="仿宋_GB2312"/>
                <w:sz w:val="28"/>
                <w:szCs w:val="28"/>
                <w:u w:val="none"/>
              </w:rPr>
            </w:pPr>
            <w:r>
              <w:rPr>
                <w:rFonts w:hint="eastAsia" w:ascii="仿宋_GB2312" w:hAnsi="仿宋_GB2312" w:eastAsia="仿宋_GB2312" w:cs="仿宋_GB2312"/>
                <w:spacing w:val="-7"/>
                <w:sz w:val="28"/>
                <w:szCs w:val="28"/>
                <w:u w:val="none"/>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7" w:hRule="atLeast"/>
        </w:trPr>
        <w:tc>
          <w:tcPr>
            <w:tcW w:w="2554" w:type="dxa"/>
            <w:tcBorders>
              <w:top w:val="single" w:color="000000" w:sz="2" w:space="0"/>
              <w:bottom w:val="single" w:color="000000" w:sz="2" w:space="0"/>
            </w:tcBorders>
            <w:vAlign w:val="center"/>
          </w:tcPr>
          <w:p>
            <w:pPr>
              <w:adjustRightInd w:val="0"/>
              <w:snapToGrid w:val="0"/>
              <w:spacing w:line="300" w:lineRule="exact"/>
              <w:jc w:val="center"/>
              <w:rPr>
                <w:rFonts w:ascii="仿宋_GB2312" w:hAnsi="仿宋_GB2312" w:eastAsia="仿宋_GB2312" w:cs="仿宋_GB2312"/>
                <w:sz w:val="28"/>
                <w:szCs w:val="28"/>
                <w:u w:val="none"/>
              </w:rPr>
            </w:pPr>
            <w:r>
              <w:rPr>
                <w:rFonts w:hint="eastAsia" w:ascii="仿宋_GB2312" w:hAnsi="仿宋_GB2312" w:eastAsia="仿宋_GB2312" w:cs="仿宋_GB2312"/>
                <w:spacing w:val="-2"/>
                <w:sz w:val="28"/>
                <w:szCs w:val="28"/>
                <w:u w:val="none"/>
              </w:rPr>
              <w:t>农用场地</w:t>
            </w:r>
          </w:p>
        </w:tc>
        <w:tc>
          <w:tcPr>
            <w:tcW w:w="4323" w:type="dxa"/>
            <w:tcBorders>
              <w:top w:val="single" w:color="000000" w:sz="2" w:space="0"/>
              <w:bottom w:val="single" w:color="000000" w:sz="2" w:space="0"/>
            </w:tcBorders>
            <w:vAlign w:val="center"/>
          </w:tcPr>
          <w:p>
            <w:pPr>
              <w:adjustRightInd w:val="0"/>
              <w:snapToGrid w:val="0"/>
              <w:spacing w:line="300" w:lineRule="exact"/>
              <w:jc w:val="center"/>
              <w:rPr>
                <w:rFonts w:ascii="仿宋_GB2312" w:hAnsi="仿宋_GB2312" w:eastAsia="仿宋_GB2312" w:cs="仿宋_GB2312"/>
                <w:sz w:val="28"/>
                <w:szCs w:val="28"/>
                <w:u w:val="none"/>
              </w:rPr>
            </w:pPr>
            <w:r>
              <w:rPr>
                <w:rFonts w:hint="eastAsia" w:ascii="仿宋_GB2312" w:hAnsi="仿宋_GB2312" w:eastAsia="仿宋_GB2312" w:cs="仿宋_GB2312"/>
                <w:spacing w:val="2"/>
                <w:sz w:val="28"/>
                <w:szCs w:val="28"/>
                <w:u w:val="none"/>
              </w:rPr>
              <w:t>水泥场地</w:t>
            </w:r>
          </w:p>
        </w:tc>
        <w:tc>
          <w:tcPr>
            <w:tcW w:w="1761" w:type="dxa"/>
            <w:tcBorders>
              <w:top w:val="single" w:color="000000" w:sz="2" w:space="0"/>
              <w:bottom w:val="single" w:color="000000" w:sz="2" w:space="0"/>
            </w:tcBorders>
            <w:vAlign w:val="center"/>
          </w:tcPr>
          <w:p>
            <w:pPr>
              <w:adjustRightInd w:val="0"/>
              <w:snapToGrid w:val="0"/>
              <w:spacing w:line="300" w:lineRule="exact"/>
              <w:jc w:val="center"/>
              <w:rPr>
                <w:rFonts w:ascii="仿宋_GB2312" w:hAnsi="仿宋_GB2312" w:eastAsia="仿宋_GB2312" w:cs="仿宋_GB2312"/>
                <w:sz w:val="28"/>
                <w:szCs w:val="28"/>
                <w:u w:val="none"/>
              </w:rPr>
            </w:pPr>
            <w:r>
              <w:rPr>
                <w:rFonts w:hint="eastAsia" w:ascii="仿宋_GB2312" w:hAnsi="仿宋_GB2312" w:eastAsia="仿宋_GB2312" w:cs="仿宋_GB2312"/>
                <w:spacing w:val="-7"/>
                <w:sz w:val="28"/>
                <w:szCs w:val="28"/>
                <w:u w:val="none"/>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3" w:hRule="atLeast"/>
        </w:trPr>
        <w:tc>
          <w:tcPr>
            <w:tcW w:w="2554" w:type="dxa"/>
            <w:tcBorders>
              <w:top w:val="single" w:color="000000" w:sz="2" w:space="0"/>
              <w:bottom w:val="single" w:color="000000" w:sz="2" w:space="0"/>
            </w:tcBorders>
            <w:vAlign w:val="center"/>
          </w:tcPr>
          <w:p>
            <w:pPr>
              <w:adjustRightInd w:val="0"/>
              <w:snapToGrid w:val="0"/>
              <w:spacing w:line="300" w:lineRule="exact"/>
              <w:jc w:val="center"/>
              <w:rPr>
                <w:rFonts w:ascii="仿宋_GB2312" w:hAnsi="仿宋_GB2312" w:eastAsia="仿宋_GB2312" w:cs="仿宋_GB2312"/>
                <w:sz w:val="28"/>
                <w:szCs w:val="28"/>
                <w:u w:val="none"/>
              </w:rPr>
            </w:pPr>
            <w:r>
              <w:rPr>
                <w:rFonts w:hint="eastAsia" w:ascii="仿宋_GB2312" w:hAnsi="仿宋_GB2312" w:eastAsia="仿宋_GB2312" w:cs="仿宋_GB2312"/>
                <w:spacing w:val="2"/>
                <w:sz w:val="28"/>
                <w:szCs w:val="28"/>
                <w:u w:val="none"/>
              </w:rPr>
              <w:t>排灌设施</w:t>
            </w:r>
          </w:p>
        </w:tc>
        <w:tc>
          <w:tcPr>
            <w:tcW w:w="4323" w:type="dxa"/>
            <w:tcBorders>
              <w:top w:val="single" w:color="000000" w:sz="2" w:space="0"/>
              <w:bottom w:val="single" w:color="000000" w:sz="2" w:space="0"/>
            </w:tcBorders>
            <w:vAlign w:val="center"/>
          </w:tcPr>
          <w:p>
            <w:pPr>
              <w:adjustRightInd w:val="0"/>
              <w:snapToGrid w:val="0"/>
              <w:spacing w:line="300" w:lineRule="exact"/>
              <w:jc w:val="center"/>
              <w:rPr>
                <w:rFonts w:ascii="仿宋_GB2312" w:hAnsi="仿宋_GB2312" w:eastAsia="仿宋_GB2312" w:cs="仿宋_GB2312"/>
                <w:sz w:val="28"/>
                <w:szCs w:val="28"/>
                <w:u w:val="none"/>
              </w:rPr>
            </w:pPr>
            <w:r>
              <w:rPr>
                <w:rFonts w:hint="eastAsia" w:ascii="仿宋_GB2312" w:hAnsi="仿宋_GB2312" w:eastAsia="仿宋_GB2312" w:cs="仿宋_GB2312"/>
                <w:spacing w:val="2"/>
                <w:sz w:val="28"/>
                <w:szCs w:val="28"/>
                <w:u w:val="none"/>
              </w:rPr>
              <w:t>水泥明渠等</w:t>
            </w:r>
          </w:p>
        </w:tc>
        <w:tc>
          <w:tcPr>
            <w:tcW w:w="1761" w:type="dxa"/>
            <w:tcBorders>
              <w:top w:val="single" w:color="000000" w:sz="2" w:space="0"/>
              <w:bottom w:val="single" w:color="000000" w:sz="2" w:space="0"/>
            </w:tcBorders>
            <w:vAlign w:val="center"/>
          </w:tcPr>
          <w:p>
            <w:pPr>
              <w:adjustRightInd w:val="0"/>
              <w:snapToGrid w:val="0"/>
              <w:spacing w:line="300" w:lineRule="exact"/>
              <w:jc w:val="center"/>
              <w:rPr>
                <w:rFonts w:ascii="仿宋_GB2312" w:hAnsi="仿宋_GB2312" w:eastAsia="仿宋_GB2312" w:cs="仿宋_GB2312"/>
                <w:sz w:val="28"/>
                <w:szCs w:val="28"/>
                <w:u w:val="none"/>
              </w:rPr>
            </w:pPr>
            <w:r>
              <w:rPr>
                <w:rFonts w:hint="eastAsia" w:ascii="仿宋_GB2312" w:hAnsi="仿宋_GB2312" w:eastAsia="仿宋_GB2312" w:cs="仿宋_GB2312"/>
                <w:spacing w:val="-7"/>
                <w:sz w:val="28"/>
                <w:szCs w:val="28"/>
                <w:u w:val="none"/>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3" w:hRule="atLeast"/>
        </w:trPr>
        <w:tc>
          <w:tcPr>
            <w:tcW w:w="2554" w:type="dxa"/>
            <w:vMerge w:val="restart"/>
            <w:tcBorders>
              <w:top w:val="single" w:color="000000" w:sz="2" w:space="0"/>
              <w:bottom w:val="nil"/>
            </w:tcBorders>
            <w:vAlign w:val="center"/>
          </w:tcPr>
          <w:p>
            <w:pPr>
              <w:adjustRightInd w:val="0"/>
              <w:snapToGrid w:val="0"/>
              <w:spacing w:line="300" w:lineRule="exact"/>
              <w:rPr>
                <w:rFonts w:ascii="仿宋_GB2312" w:hAnsi="仿宋_GB2312" w:eastAsia="仿宋_GB2312" w:cs="仿宋_GB2312"/>
                <w:sz w:val="28"/>
                <w:szCs w:val="28"/>
                <w:u w:val="none"/>
              </w:rPr>
            </w:pPr>
            <w:r>
              <w:rPr>
                <w:rFonts w:hint="eastAsia" w:ascii="仿宋_GB2312" w:hAnsi="仿宋_GB2312" w:eastAsia="仿宋_GB2312" w:cs="仿宋_GB2312"/>
                <w:spacing w:val="1"/>
                <w:sz w:val="28"/>
                <w:szCs w:val="28"/>
                <w:u w:val="none"/>
              </w:rPr>
              <w:t>农用房(仓库、管</w:t>
            </w:r>
            <w:r>
              <w:rPr>
                <w:rFonts w:hint="eastAsia" w:ascii="仿宋_GB2312" w:hAnsi="仿宋_GB2312" w:eastAsia="仿宋_GB2312" w:cs="仿宋_GB2312"/>
                <w:spacing w:val="2"/>
                <w:sz w:val="28"/>
                <w:szCs w:val="28"/>
                <w:u w:val="none"/>
              </w:rPr>
              <w:t>理用房、烘干房、</w:t>
            </w:r>
            <w:r>
              <w:rPr>
                <w:rFonts w:hint="eastAsia" w:ascii="仿宋_GB2312" w:hAnsi="仿宋_GB2312" w:eastAsia="仿宋_GB2312" w:cs="仿宋_GB2312"/>
                <w:spacing w:val="4"/>
                <w:sz w:val="28"/>
                <w:szCs w:val="28"/>
                <w:u w:val="none"/>
              </w:rPr>
              <w:t xml:space="preserve"> </w:t>
            </w:r>
            <w:r>
              <w:rPr>
                <w:rFonts w:hint="eastAsia" w:ascii="仿宋_GB2312" w:hAnsi="仿宋_GB2312" w:eastAsia="仿宋_GB2312" w:cs="仿宋_GB2312"/>
                <w:spacing w:val="-2"/>
                <w:sz w:val="28"/>
                <w:szCs w:val="28"/>
                <w:u w:val="none"/>
              </w:rPr>
              <w:t>泵房、畜禽棚舍等)</w:t>
            </w:r>
          </w:p>
        </w:tc>
        <w:tc>
          <w:tcPr>
            <w:tcW w:w="4323" w:type="dxa"/>
            <w:tcBorders>
              <w:top w:val="single" w:color="000000" w:sz="2" w:space="0"/>
              <w:bottom w:val="single" w:color="000000" w:sz="2" w:space="0"/>
            </w:tcBorders>
            <w:vAlign w:val="center"/>
          </w:tcPr>
          <w:p>
            <w:pPr>
              <w:adjustRightInd w:val="0"/>
              <w:snapToGrid w:val="0"/>
              <w:spacing w:line="300" w:lineRule="exact"/>
              <w:jc w:val="center"/>
              <w:rPr>
                <w:rFonts w:ascii="仿宋_GB2312" w:hAnsi="仿宋_GB2312" w:eastAsia="仿宋_GB2312" w:cs="仿宋_GB2312"/>
                <w:sz w:val="28"/>
                <w:szCs w:val="28"/>
                <w:u w:val="none"/>
              </w:rPr>
            </w:pPr>
            <w:r>
              <w:rPr>
                <w:rFonts w:hint="eastAsia" w:ascii="仿宋_GB2312" w:hAnsi="仿宋_GB2312" w:eastAsia="仿宋_GB2312" w:cs="仿宋_GB2312"/>
                <w:spacing w:val="1"/>
                <w:sz w:val="28"/>
                <w:szCs w:val="28"/>
                <w:u w:val="none"/>
              </w:rPr>
              <w:t>钢结构、钢筋混凝土结构</w:t>
            </w:r>
          </w:p>
        </w:tc>
        <w:tc>
          <w:tcPr>
            <w:tcW w:w="1761" w:type="dxa"/>
            <w:tcBorders>
              <w:top w:val="single" w:color="000000" w:sz="2" w:space="0"/>
              <w:bottom w:val="single" w:color="000000" w:sz="2" w:space="0"/>
            </w:tcBorders>
            <w:vAlign w:val="center"/>
          </w:tcPr>
          <w:p>
            <w:pPr>
              <w:adjustRightInd w:val="0"/>
              <w:snapToGrid w:val="0"/>
              <w:spacing w:line="300" w:lineRule="exact"/>
              <w:jc w:val="center"/>
              <w:rPr>
                <w:rFonts w:ascii="仿宋_GB2312" w:hAnsi="仿宋_GB2312" w:eastAsia="仿宋_GB2312" w:cs="仿宋_GB2312"/>
                <w:sz w:val="28"/>
                <w:szCs w:val="28"/>
                <w:u w:val="none"/>
              </w:rPr>
            </w:pPr>
            <w:r>
              <w:rPr>
                <w:rFonts w:hint="eastAsia" w:ascii="仿宋_GB2312" w:hAnsi="仿宋_GB2312" w:eastAsia="仿宋_GB2312" w:cs="仿宋_GB2312"/>
                <w:spacing w:val="-4"/>
                <w:sz w:val="28"/>
                <w:szCs w:val="28"/>
                <w:u w:val="none"/>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9" w:hRule="atLeast"/>
        </w:trPr>
        <w:tc>
          <w:tcPr>
            <w:tcW w:w="2554" w:type="dxa"/>
            <w:vMerge w:val="continue"/>
            <w:tcBorders>
              <w:top w:val="nil"/>
              <w:bottom w:val="nil"/>
            </w:tcBorders>
            <w:vAlign w:val="center"/>
          </w:tcPr>
          <w:p>
            <w:pPr>
              <w:adjustRightInd w:val="0"/>
              <w:snapToGrid w:val="0"/>
              <w:spacing w:line="300" w:lineRule="exact"/>
              <w:rPr>
                <w:rFonts w:ascii="仿宋_GB2312" w:hAnsi="仿宋_GB2312" w:eastAsia="仿宋_GB2312" w:cs="仿宋_GB2312"/>
                <w:sz w:val="28"/>
                <w:szCs w:val="28"/>
                <w:u w:val="none"/>
              </w:rPr>
            </w:pPr>
          </w:p>
        </w:tc>
        <w:tc>
          <w:tcPr>
            <w:tcW w:w="4323" w:type="dxa"/>
            <w:tcBorders>
              <w:top w:val="single" w:color="000000" w:sz="2" w:space="0"/>
              <w:bottom w:val="single" w:color="000000" w:sz="2" w:space="0"/>
            </w:tcBorders>
            <w:vAlign w:val="center"/>
          </w:tcPr>
          <w:p>
            <w:pPr>
              <w:adjustRightInd w:val="0"/>
              <w:snapToGrid w:val="0"/>
              <w:spacing w:line="300" w:lineRule="exact"/>
              <w:jc w:val="center"/>
              <w:rPr>
                <w:rFonts w:ascii="仿宋_GB2312" w:hAnsi="仿宋_GB2312" w:eastAsia="仿宋_GB2312" w:cs="仿宋_GB2312"/>
                <w:sz w:val="28"/>
                <w:szCs w:val="28"/>
                <w:u w:val="none"/>
              </w:rPr>
            </w:pPr>
            <w:r>
              <w:rPr>
                <w:rFonts w:hint="eastAsia" w:ascii="仿宋_GB2312" w:hAnsi="仿宋_GB2312" w:eastAsia="仿宋_GB2312" w:cs="仿宋_GB2312"/>
                <w:spacing w:val="1"/>
                <w:sz w:val="28"/>
                <w:szCs w:val="28"/>
                <w:u w:val="none"/>
              </w:rPr>
              <w:t>砖混结构、砖木结构</w:t>
            </w:r>
          </w:p>
        </w:tc>
        <w:tc>
          <w:tcPr>
            <w:tcW w:w="1761" w:type="dxa"/>
            <w:tcBorders>
              <w:top w:val="single" w:color="000000" w:sz="2" w:space="0"/>
              <w:bottom w:val="single" w:color="000000" w:sz="2" w:space="0"/>
            </w:tcBorders>
            <w:vAlign w:val="center"/>
          </w:tcPr>
          <w:p>
            <w:pPr>
              <w:adjustRightInd w:val="0"/>
              <w:snapToGrid w:val="0"/>
              <w:spacing w:line="300" w:lineRule="exact"/>
              <w:jc w:val="center"/>
              <w:rPr>
                <w:rFonts w:ascii="仿宋_GB2312" w:hAnsi="仿宋_GB2312" w:eastAsia="仿宋_GB2312" w:cs="仿宋_GB2312"/>
                <w:sz w:val="28"/>
                <w:szCs w:val="28"/>
                <w:u w:val="none"/>
              </w:rPr>
            </w:pPr>
            <w:r>
              <w:rPr>
                <w:rFonts w:hint="eastAsia" w:ascii="仿宋_GB2312" w:hAnsi="仿宋_GB2312" w:eastAsia="仿宋_GB2312" w:cs="仿宋_GB2312"/>
                <w:spacing w:val="-4"/>
                <w:sz w:val="28"/>
                <w:szCs w:val="28"/>
                <w:u w:val="none"/>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8" w:hRule="atLeast"/>
        </w:trPr>
        <w:tc>
          <w:tcPr>
            <w:tcW w:w="2554" w:type="dxa"/>
            <w:vMerge w:val="continue"/>
            <w:tcBorders>
              <w:top w:val="nil"/>
              <w:bottom w:val="single" w:color="000000" w:sz="2" w:space="0"/>
            </w:tcBorders>
            <w:vAlign w:val="center"/>
          </w:tcPr>
          <w:p>
            <w:pPr>
              <w:adjustRightInd w:val="0"/>
              <w:snapToGrid w:val="0"/>
              <w:spacing w:line="300" w:lineRule="exact"/>
              <w:rPr>
                <w:rFonts w:ascii="仿宋_GB2312" w:hAnsi="仿宋_GB2312" w:eastAsia="仿宋_GB2312" w:cs="仿宋_GB2312"/>
                <w:sz w:val="28"/>
                <w:szCs w:val="28"/>
                <w:u w:val="none"/>
              </w:rPr>
            </w:pPr>
          </w:p>
        </w:tc>
        <w:tc>
          <w:tcPr>
            <w:tcW w:w="4323" w:type="dxa"/>
            <w:tcBorders>
              <w:top w:val="single" w:color="000000" w:sz="2" w:space="0"/>
              <w:bottom w:val="single" w:color="000000" w:sz="2" w:space="0"/>
            </w:tcBorders>
            <w:vAlign w:val="center"/>
          </w:tcPr>
          <w:p>
            <w:pPr>
              <w:adjustRightInd w:val="0"/>
              <w:snapToGrid w:val="0"/>
              <w:spacing w:line="300" w:lineRule="exact"/>
              <w:jc w:val="center"/>
              <w:rPr>
                <w:rFonts w:ascii="仿宋_GB2312" w:hAnsi="仿宋_GB2312" w:eastAsia="仿宋_GB2312" w:cs="仿宋_GB2312"/>
                <w:sz w:val="28"/>
                <w:szCs w:val="28"/>
                <w:u w:val="none"/>
              </w:rPr>
            </w:pPr>
            <w:r>
              <w:rPr>
                <w:rFonts w:hint="eastAsia" w:ascii="仿宋_GB2312" w:hAnsi="仿宋_GB2312" w:eastAsia="仿宋_GB2312" w:cs="仿宋_GB2312"/>
                <w:spacing w:val="5"/>
                <w:sz w:val="28"/>
                <w:szCs w:val="28"/>
                <w:u w:val="none"/>
              </w:rPr>
              <w:t>简易房</w:t>
            </w:r>
          </w:p>
        </w:tc>
        <w:tc>
          <w:tcPr>
            <w:tcW w:w="1761" w:type="dxa"/>
            <w:tcBorders>
              <w:top w:val="single" w:color="000000" w:sz="2" w:space="0"/>
              <w:bottom w:val="single" w:color="000000" w:sz="2" w:space="0"/>
            </w:tcBorders>
            <w:vAlign w:val="center"/>
          </w:tcPr>
          <w:p>
            <w:pPr>
              <w:adjustRightInd w:val="0"/>
              <w:snapToGrid w:val="0"/>
              <w:spacing w:line="300" w:lineRule="exact"/>
              <w:jc w:val="center"/>
              <w:rPr>
                <w:rFonts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9" w:hRule="atLeast"/>
        </w:trPr>
        <w:tc>
          <w:tcPr>
            <w:tcW w:w="2554" w:type="dxa"/>
            <w:tcBorders>
              <w:top w:val="single" w:color="000000" w:sz="2" w:space="0"/>
              <w:bottom w:val="single" w:color="000000" w:sz="2" w:space="0"/>
            </w:tcBorders>
            <w:vAlign w:val="center"/>
          </w:tcPr>
          <w:p>
            <w:pPr>
              <w:adjustRightInd w:val="0"/>
              <w:snapToGrid w:val="0"/>
              <w:spacing w:line="300" w:lineRule="exact"/>
              <w:jc w:val="center"/>
              <w:rPr>
                <w:rFonts w:ascii="仿宋_GB2312" w:hAnsi="仿宋_GB2312" w:eastAsia="仿宋_GB2312" w:cs="仿宋_GB2312"/>
                <w:sz w:val="28"/>
                <w:szCs w:val="28"/>
                <w:u w:val="none"/>
              </w:rPr>
            </w:pPr>
            <w:r>
              <w:rPr>
                <w:rFonts w:hint="eastAsia" w:ascii="仿宋_GB2312" w:hAnsi="仿宋_GB2312" w:eastAsia="仿宋_GB2312" w:cs="仿宋_GB2312"/>
                <w:spacing w:val="7"/>
                <w:sz w:val="28"/>
                <w:szCs w:val="28"/>
                <w:u w:val="none"/>
              </w:rPr>
              <w:t>桥涵</w:t>
            </w:r>
          </w:p>
        </w:tc>
        <w:tc>
          <w:tcPr>
            <w:tcW w:w="4323" w:type="dxa"/>
            <w:tcBorders>
              <w:top w:val="single" w:color="000000" w:sz="2" w:space="0"/>
              <w:bottom w:val="single" w:color="000000" w:sz="2" w:space="0"/>
            </w:tcBorders>
            <w:vAlign w:val="center"/>
          </w:tcPr>
          <w:p>
            <w:pPr>
              <w:adjustRightInd w:val="0"/>
              <w:snapToGrid w:val="0"/>
              <w:spacing w:line="300" w:lineRule="exact"/>
              <w:jc w:val="center"/>
              <w:rPr>
                <w:rFonts w:ascii="仿宋_GB2312" w:hAnsi="仿宋_GB2312" w:eastAsia="仿宋_GB2312" w:cs="仿宋_GB2312"/>
                <w:sz w:val="28"/>
                <w:szCs w:val="28"/>
                <w:u w:val="none"/>
              </w:rPr>
            </w:pPr>
            <w:r>
              <w:rPr>
                <w:rFonts w:hint="eastAsia" w:ascii="仿宋_GB2312" w:hAnsi="仿宋_GB2312" w:eastAsia="仿宋_GB2312" w:cs="仿宋_GB2312"/>
                <w:spacing w:val="3"/>
                <w:sz w:val="28"/>
                <w:szCs w:val="28"/>
                <w:u w:val="none"/>
              </w:rPr>
              <w:t>小桥、涵洞</w:t>
            </w:r>
          </w:p>
        </w:tc>
        <w:tc>
          <w:tcPr>
            <w:tcW w:w="1761" w:type="dxa"/>
            <w:tcBorders>
              <w:top w:val="single" w:color="000000" w:sz="2" w:space="0"/>
              <w:bottom w:val="single" w:color="000000" w:sz="2" w:space="0"/>
            </w:tcBorders>
            <w:vAlign w:val="center"/>
          </w:tcPr>
          <w:p>
            <w:pPr>
              <w:adjustRightInd w:val="0"/>
              <w:snapToGrid w:val="0"/>
              <w:spacing w:line="300" w:lineRule="exact"/>
              <w:jc w:val="center"/>
              <w:rPr>
                <w:rFonts w:ascii="仿宋_GB2312" w:hAnsi="仿宋_GB2312" w:eastAsia="仿宋_GB2312" w:cs="仿宋_GB2312"/>
                <w:sz w:val="28"/>
                <w:szCs w:val="28"/>
                <w:u w:val="none"/>
              </w:rPr>
            </w:pPr>
            <w:r>
              <w:rPr>
                <w:rFonts w:hint="eastAsia" w:ascii="仿宋_GB2312" w:hAnsi="仿宋_GB2312" w:eastAsia="仿宋_GB2312" w:cs="仿宋_GB2312"/>
                <w:spacing w:val="-4"/>
                <w:sz w:val="28"/>
                <w:szCs w:val="28"/>
                <w:u w:val="none"/>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8" w:hRule="atLeast"/>
        </w:trPr>
        <w:tc>
          <w:tcPr>
            <w:tcW w:w="2554" w:type="dxa"/>
            <w:tcBorders>
              <w:top w:val="single" w:color="000000" w:sz="2" w:space="0"/>
              <w:bottom w:val="single" w:color="000000" w:sz="2" w:space="0"/>
            </w:tcBorders>
            <w:vAlign w:val="center"/>
          </w:tcPr>
          <w:p>
            <w:pPr>
              <w:adjustRightInd w:val="0"/>
              <w:snapToGrid w:val="0"/>
              <w:spacing w:line="300" w:lineRule="exact"/>
              <w:jc w:val="center"/>
              <w:rPr>
                <w:rFonts w:ascii="仿宋_GB2312" w:hAnsi="仿宋_GB2312" w:eastAsia="仿宋_GB2312" w:cs="仿宋_GB2312"/>
                <w:sz w:val="28"/>
                <w:szCs w:val="28"/>
                <w:u w:val="none"/>
              </w:rPr>
            </w:pPr>
            <w:r>
              <w:rPr>
                <w:rFonts w:hint="eastAsia" w:ascii="仿宋_GB2312" w:hAnsi="仿宋_GB2312" w:eastAsia="仿宋_GB2312" w:cs="仿宋_GB2312"/>
                <w:spacing w:val="2"/>
                <w:sz w:val="28"/>
                <w:szCs w:val="28"/>
                <w:u w:val="none"/>
              </w:rPr>
              <w:t>围墙设施</w:t>
            </w:r>
          </w:p>
        </w:tc>
        <w:tc>
          <w:tcPr>
            <w:tcW w:w="4323" w:type="dxa"/>
            <w:tcBorders>
              <w:top w:val="single" w:color="000000" w:sz="2" w:space="0"/>
              <w:bottom w:val="single" w:color="000000" w:sz="2" w:space="0"/>
            </w:tcBorders>
            <w:vAlign w:val="center"/>
          </w:tcPr>
          <w:p>
            <w:pPr>
              <w:adjustRightInd w:val="0"/>
              <w:snapToGrid w:val="0"/>
              <w:spacing w:line="300" w:lineRule="exact"/>
              <w:jc w:val="center"/>
              <w:rPr>
                <w:rFonts w:ascii="仿宋_GB2312" w:hAnsi="仿宋_GB2312" w:eastAsia="仿宋_GB2312" w:cs="仿宋_GB2312"/>
                <w:sz w:val="28"/>
                <w:szCs w:val="28"/>
                <w:u w:val="none"/>
              </w:rPr>
            </w:pPr>
            <w:r>
              <w:rPr>
                <w:rFonts w:hint="eastAsia" w:ascii="仿宋_GB2312" w:hAnsi="仿宋_GB2312" w:eastAsia="仿宋_GB2312" w:cs="仿宋_GB2312"/>
                <w:spacing w:val="-2"/>
                <w:sz w:val="28"/>
                <w:szCs w:val="28"/>
                <w:u w:val="none"/>
              </w:rPr>
              <w:t>砖混围墙</w:t>
            </w:r>
          </w:p>
        </w:tc>
        <w:tc>
          <w:tcPr>
            <w:tcW w:w="1761" w:type="dxa"/>
            <w:tcBorders>
              <w:top w:val="single" w:color="000000" w:sz="2" w:space="0"/>
              <w:bottom w:val="single" w:color="000000" w:sz="2" w:space="0"/>
            </w:tcBorders>
            <w:vAlign w:val="center"/>
          </w:tcPr>
          <w:p>
            <w:pPr>
              <w:adjustRightInd w:val="0"/>
              <w:snapToGrid w:val="0"/>
              <w:spacing w:line="300" w:lineRule="exact"/>
              <w:jc w:val="center"/>
              <w:rPr>
                <w:rFonts w:ascii="仿宋_GB2312" w:hAnsi="仿宋_GB2312" w:eastAsia="仿宋_GB2312" w:cs="仿宋_GB2312"/>
                <w:sz w:val="28"/>
                <w:szCs w:val="28"/>
                <w:u w:val="none"/>
              </w:rPr>
            </w:pPr>
            <w:r>
              <w:rPr>
                <w:rFonts w:hint="eastAsia" w:ascii="仿宋_GB2312" w:hAnsi="仿宋_GB2312" w:eastAsia="仿宋_GB2312" w:cs="仿宋_GB2312"/>
                <w:spacing w:val="-7"/>
                <w:sz w:val="28"/>
                <w:szCs w:val="28"/>
                <w:u w:val="none"/>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9" w:hRule="atLeast"/>
        </w:trPr>
        <w:tc>
          <w:tcPr>
            <w:tcW w:w="2554" w:type="dxa"/>
            <w:vMerge w:val="restart"/>
            <w:tcBorders>
              <w:top w:val="single" w:color="000000" w:sz="2" w:space="0"/>
              <w:bottom w:val="nil"/>
            </w:tcBorders>
            <w:vAlign w:val="center"/>
          </w:tcPr>
          <w:p>
            <w:pPr>
              <w:adjustRightInd w:val="0"/>
              <w:snapToGrid w:val="0"/>
              <w:spacing w:line="300" w:lineRule="exact"/>
              <w:jc w:val="center"/>
              <w:rPr>
                <w:rFonts w:ascii="仿宋_GB2312" w:hAnsi="仿宋_GB2312" w:eastAsia="仿宋_GB2312" w:cs="仿宋_GB2312"/>
                <w:sz w:val="28"/>
                <w:szCs w:val="28"/>
                <w:u w:val="none"/>
              </w:rPr>
            </w:pPr>
            <w:r>
              <w:rPr>
                <w:rFonts w:hint="eastAsia" w:ascii="仿宋_GB2312" w:hAnsi="仿宋_GB2312" w:eastAsia="仿宋_GB2312" w:cs="仿宋_GB2312"/>
                <w:spacing w:val="3"/>
                <w:sz w:val="28"/>
                <w:szCs w:val="28"/>
                <w:u w:val="none"/>
              </w:rPr>
              <w:t>温室大棚</w:t>
            </w:r>
          </w:p>
        </w:tc>
        <w:tc>
          <w:tcPr>
            <w:tcW w:w="4323" w:type="dxa"/>
            <w:tcBorders>
              <w:top w:val="single" w:color="000000" w:sz="2" w:space="0"/>
              <w:bottom w:val="single" w:color="000000" w:sz="2" w:space="0"/>
            </w:tcBorders>
            <w:vAlign w:val="center"/>
          </w:tcPr>
          <w:p>
            <w:pPr>
              <w:adjustRightInd w:val="0"/>
              <w:snapToGrid w:val="0"/>
              <w:spacing w:line="300" w:lineRule="exact"/>
              <w:jc w:val="center"/>
              <w:rPr>
                <w:rFonts w:ascii="仿宋_GB2312" w:hAnsi="仿宋_GB2312" w:eastAsia="仿宋_GB2312" w:cs="仿宋_GB2312"/>
                <w:sz w:val="28"/>
                <w:szCs w:val="28"/>
                <w:u w:val="none"/>
              </w:rPr>
            </w:pPr>
            <w:r>
              <w:rPr>
                <w:rFonts w:hint="eastAsia" w:ascii="仿宋_GB2312" w:hAnsi="仿宋_GB2312" w:eastAsia="仿宋_GB2312" w:cs="仿宋_GB2312"/>
                <w:spacing w:val="4"/>
                <w:sz w:val="28"/>
                <w:szCs w:val="28"/>
                <w:u w:val="none"/>
              </w:rPr>
              <w:t>6型棚</w:t>
            </w:r>
          </w:p>
        </w:tc>
        <w:tc>
          <w:tcPr>
            <w:tcW w:w="1761" w:type="dxa"/>
            <w:tcBorders>
              <w:top w:val="single" w:color="000000" w:sz="2" w:space="0"/>
              <w:bottom w:val="single" w:color="000000" w:sz="2" w:space="0"/>
            </w:tcBorders>
            <w:vAlign w:val="center"/>
          </w:tcPr>
          <w:p>
            <w:pPr>
              <w:adjustRightInd w:val="0"/>
              <w:snapToGrid w:val="0"/>
              <w:spacing w:line="300" w:lineRule="exact"/>
              <w:jc w:val="center"/>
              <w:rPr>
                <w:rFonts w:ascii="仿宋_GB2312" w:hAnsi="仿宋_GB2312" w:eastAsia="仿宋_GB2312" w:cs="仿宋_GB2312"/>
                <w:sz w:val="28"/>
                <w:szCs w:val="28"/>
                <w:u w:val="none"/>
              </w:rPr>
            </w:pPr>
            <w:r>
              <w:rPr>
                <w:rFonts w:hint="eastAsia" w:ascii="仿宋_GB2312" w:hAnsi="仿宋_GB2312" w:eastAsia="仿宋_GB2312" w:cs="仿宋_GB2312"/>
                <w:spacing w:val="-7"/>
                <w:sz w:val="28"/>
                <w:szCs w:val="28"/>
                <w:u w:val="none"/>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8" w:hRule="atLeast"/>
        </w:trPr>
        <w:tc>
          <w:tcPr>
            <w:tcW w:w="2554" w:type="dxa"/>
            <w:vMerge w:val="continue"/>
            <w:tcBorders>
              <w:top w:val="nil"/>
              <w:bottom w:val="nil"/>
            </w:tcBorders>
            <w:vAlign w:val="center"/>
          </w:tcPr>
          <w:p>
            <w:pPr>
              <w:adjustRightInd w:val="0"/>
              <w:snapToGrid w:val="0"/>
              <w:spacing w:line="300" w:lineRule="exact"/>
              <w:rPr>
                <w:rFonts w:ascii="仿宋_GB2312" w:hAnsi="仿宋_GB2312" w:eastAsia="仿宋_GB2312" w:cs="仿宋_GB2312"/>
                <w:sz w:val="28"/>
                <w:szCs w:val="28"/>
                <w:u w:val="none"/>
              </w:rPr>
            </w:pPr>
          </w:p>
        </w:tc>
        <w:tc>
          <w:tcPr>
            <w:tcW w:w="4323" w:type="dxa"/>
            <w:tcBorders>
              <w:top w:val="single" w:color="000000" w:sz="2" w:space="0"/>
              <w:bottom w:val="single" w:color="000000" w:sz="2" w:space="0"/>
            </w:tcBorders>
            <w:vAlign w:val="center"/>
          </w:tcPr>
          <w:p>
            <w:pPr>
              <w:adjustRightInd w:val="0"/>
              <w:snapToGrid w:val="0"/>
              <w:spacing w:line="300" w:lineRule="exact"/>
              <w:jc w:val="center"/>
              <w:rPr>
                <w:rFonts w:ascii="仿宋_GB2312" w:hAnsi="仿宋_GB2312" w:eastAsia="仿宋_GB2312" w:cs="仿宋_GB2312"/>
                <w:sz w:val="28"/>
                <w:szCs w:val="28"/>
                <w:u w:val="none"/>
              </w:rPr>
            </w:pPr>
            <w:r>
              <w:rPr>
                <w:rFonts w:hint="eastAsia" w:ascii="仿宋_GB2312" w:hAnsi="仿宋_GB2312" w:eastAsia="仿宋_GB2312" w:cs="仿宋_GB2312"/>
                <w:spacing w:val="4"/>
                <w:sz w:val="28"/>
                <w:szCs w:val="28"/>
                <w:u w:val="none"/>
              </w:rPr>
              <w:t>8型棚</w:t>
            </w:r>
          </w:p>
        </w:tc>
        <w:tc>
          <w:tcPr>
            <w:tcW w:w="1761" w:type="dxa"/>
            <w:tcBorders>
              <w:top w:val="single" w:color="000000" w:sz="2" w:space="0"/>
              <w:bottom w:val="single" w:color="000000" w:sz="2" w:space="0"/>
            </w:tcBorders>
            <w:vAlign w:val="center"/>
          </w:tcPr>
          <w:p>
            <w:pPr>
              <w:adjustRightInd w:val="0"/>
              <w:snapToGrid w:val="0"/>
              <w:spacing w:line="300" w:lineRule="exact"/>
              <w:jc w:val="center"/>
              <w:rPr>
                <w:rFonts w:ascii="仿宋_GB2312" w:hAnsi="仿宋_GB2312" w:eastAsia="仿宋_GB2312" w:cs="仿宋_GB2312"/>
                <w:sz w:val="28"/>
                <w:szCs w:val="28"/>
                <w:u w:val="none"/>
              </w:rPr>
            </w:pPr>
            <w:r>
              <w:rPr>
                <w:rFonts w:hint="eastAsia" w:ascii="仿宋_GB2312" w:hAnsi="仿宋_GB2312" w:eastAsia="仿宋_GB2312" w:cs="仿宋_GB2312"/>
                <w:spacing w:val="-7"/>
                <w:sz w:val="28"/>
                <w:szCs w:val="28"/>
                <w:u w:val="none"/>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9" w:hRule="atLeast"/>
        </w:trPr>
        <w:tc>
          <w:tcPr>
            <w:tcW w:w="2554" w:type="dxa"/>
            <w:vMerge w:val="continue"/>
            <w:tcBorders>
              <w:top w:val="nil"/>
              <w:bottom w:val="nil"/>
            </w:tcBorders>
            <w:vAlign w:val="center"/>
          </w:tcPr>
          <w:p>
            <w:pPr>
              <w:adjustRightInd w:val="0"/>
              <w:snapToGrid w:val="0"/>
              <w:spacing w:line="300" w:lineRule="exact"/>
              <w:rPr>
                <w:rFonts w:ascii="仿宋_GB2312" w:hAnsi="仿宋_GB2312" w:eastAsia="仿宋_GB2312" w:cs="仿宋_GB2312"/>
                <w:sz w:val="28"/>
                <w:szCs w:val="28"/>
                <w:u w:val="none"/>
              </w:rPr>
            </w:pPr>
          </w:p>
        </w:tc>
        <w:tc>
          <w:tcPr>
            <w:tcW w:w="4323" w:type="dxa"/>
            <w:tcBorders>
              <w:top w:val="single" w:color="000000" w:sz="2" w:space="0"/>
              <w:bottom w:val="single" w:color="000000" w:sz="2" w:space="0"/>
            </w:tcBorders>
            <w:vAlign w:val="center"/>
          </w:tcPr>
          <w:p>
            <w:pPr>
              <w:adjustRightInd w:val="0"/>
              <w:snapToGrid w:val="0"/>
              <w:spacing w:line="300" w:lineRule="exact"/>
              <w:jc w:val="center"/>
              <w:rPr>
                <w:rFonts w:ascii="仿宋_GB2312" w:hAnsi="仿宋_GB2312" w:eastAsia="仿宋_GB2312" w:cs="仿宋_GB2312"/>
                <w:sz w:val="28"/>
                <w:szCs w:val="28"/>
                <w:u w:val="none"/>
              </w:rPr>
            </w:pPr>
            <w:r>
              <w:rPr>
                <w:rFonts w:hint="eastAsia" w:ascii="仿宋_GB2312" w:hAnsi="仿宋_GB2312" w:eastAsia="仿宋_GB2312" w:cs="仿宋_GB2312"/>
                <w:spacing w:val="-2"/>
                <w:sz w:val="28"/>
                <w:szCs w:val="28"/>
                <w:u w:val="none"/>
              </w:rPr>
              <w:t>连栋大棚(薄膜)</w:t>
            </w:r>
          </w:p>
        </w:tc>
        <w:tc>
          <w:tcPr>
            <w:tcW w:w="1761" w:type="dxa"/>
            <w:tcBorders>
              <w:top w:val="single" w:color="000000" w:sz="2" w:space="0"/>
              <w:bottom w:val="single" w:color="000000" w:sz="2" w:space="0"/>
            </w:tcBorders>
            <w:vAlign w:val="center"/>
          </w:tcPr>
          <w:p>
            <w:pPr>
              <w:adjustRightInd w:val="0"/>
              <w:snapToGrid w:val="0"/>
              <w:spacing w:line="300" w:lineRule="exact"/>
              <w:jc w:val="center"/>
              <w:rPr>
                <w:rFonts w:ascii="仿宋_GB2312" w:hAnsi="仿宋_GB2312" w:eastAsia="仿宋_GB2312" w:cs="仿宋_GB2312"/>
                <w:sz w:val="28"/>
                <w:szCs w:val="28"/>
                <w:u w:val="none"/>
              </w:rPr>
            </w:pPr>
            <w:r>
              <w:rPr>
                <w:rFonts w:hint="eastAsia" w:ascii="仿宋_GB2312" w:hAnsi="仿宋_GB2312" w:eastAsia="仿宋_GB2312" w:cs="仿宋_GB2312"/>
                <w:spacing w:val="-7"/>
                <w:sz w:val="28"/>
                <w:szCs w:val="28"/>
                <w:u w:val="none"/>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3" w:hRule="atLeast"/>
        </w:trPr>
        <w:tc>
          <w:tcPr>
            <w:tcW w:w="2554" w:type="dxa"/>
            <w:vMerge w:val="continue"/>
            <w:tcBorders>
              <w:top w:val="nil"/>
              <w:bottom w:val="single" w:color="000000" w:sz="4" w:space="0"/>
            </w:tcBorders>
            <w:vAlign w:val="center"/>
          </w:tcPr>
          <w:p>
            <w:pPr>
              <w:adjustRightInd w:val="0"/>
              <w:snapToGrid w:val="0"/>
              <w:spacing w:line="300" w:lineRule="exact"/>
              <w:rPr>
                <w:rFonts w:ascii="仿宋_GB2312" w:hAnsi="仿宋_GB2312" w:eastAsia="仿宋_GB2312" w:cs="仿宋_GB2312"/>
                <w:sz w:val="28"/>
                <w:szCs w:val="28"/>
                <w:u w:val="none"/>
              </w:rPr>
            </w:pPr>
          </w:p>
        </w:tc>
        <w:tc>
          <w:tcPr>
            <w:tcW w:w="4323" w:type="dxa"/>
            <w:tcBorders>
              <w:top w:val="single" w:color="000000" w:sz="2" w:space="0"/>
              <w:bottom w:val="single" w:color="000000" w:sz="4" w:space="0"/>
            </w:tcBorders>
            <w:vAlign w:val="center"/>
          </w:tcPr>
          <w:p>
            <w:pPr>
              <w:adjustRightInd w:val="0"/>
              <w:snapToGrid w:val="0"/>
              <w:spacing w:line="300" w:lineRule="exact"/>
              <w:jc w:val="center"/>
              <w:rPr>
                <w:rFonts w:ascii="仿宋_GB2312" w:hAnsi="仿宋_GB2312" w:eastAsia="仿宋_GB2312" w:cs="仿宋_GB2312"/>
                <w:sz w:val="28"/>
                <w:szCs w:val="28"/>
                <w:u w:val="none"/>
              </w:rPr>
            </w:pPr>
            <w:r>
              <w:rPr>
                <w:rFonts w:hint="eastAsia" w:ascii="仿宋_GB2312" w:hAnsi="仿宋_GB2312" w:eastAsia="仿宋_GB2312" w:cs="仿宋_GB2312"/>
                <w:spacing w:val="2"/>
                <w:sz w:val="28"/>
                <w:szCs w:val="28"/>
                <w:u w:val="none"/>
              </w:rPr>
              <w:t>玻璃温室</w:t>
            </w:r>
          </w:p>
        </w:tc>
        <w:tc>
          <w:tcPr>
            <w:tcW w:w="1761" w:type="dxa"/>
            <w:tcBorders>
              <w:top w:val="single" w:color="000000" w:sz="2" w:space="0"/>
              <w:bottom w:val="single" w:color="000000" w:sz="2" w:space="0"/>
            </w:tcBorders>
            <w:vAlign w:val="center"/>
          </w:tcPr>
          <w:p>
            <w:pPr>
              <w:adjustRightInd w:val="0"/>
              <w:snapToGrid w:val="0"/>
              <w:spacing w:line="300" w:lineRule="exact"/>
              <w:jc w:val="center"/>
              <w:rPr>
                <w:rFonts w:ascii="仿宋_GB2312" w:hAnsi="仿宋_GB2312" w:eastAsia="仿宋_GB2312" w:cs="仿宋_GB2312"/>
                <w:sz w:val="28"/>
                <w:szCs w:val="28"/>
                <w:u w:val="none"/>
              </w:rPr>
            </w:pPr>
            <w:r>
              <w:rPr>
                <w:rFonts w:hint="eastAsia" w:ascii="仿宋_GB2312" w:hAnsi="仿宋_GB2312" w:eastAsia="仿宋_GB2312" w:cs="仿宋_GB2312"/>
                <w:spacing w:val="-3"/>
                <w:sz w:val="28"/>
                <w:szCs w:val="28"/>
                <w:u w:val="none"/>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92" w:hRule="atLeast"/>
        </w:trPr>
        <w:tc>
          <w:tcPr>
            <w:tcW w:w="2554" w:type="dxa"/>
            <w:tcBorders>
              <w:top w:val="single" w:color="000000" w:sz="4" w:space="0"/>
              <w:bottom w:val="single" w:color="000000" w:sz="4" w:space="0"/>
              <w:right w:val="single" w:color="000000" w:sz="4" w:space="0"/>
            </w:tcBorders>
            <w:vAlign w:val="center"/>
          </w:tcPr>
          <w:p>
            <w:pPr>
              <w:adjustRightInd w:val="0"/>
              <w:snapToGrid w:val="0"/>
              <w:spacing w:line="300" w:lineRule="exact"/>
              <w:jc w:val="center"/>
              <w:rPr>
                <w:rFonts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公共服务设施</w:t>
            </w:r>
          </w:p>
        </w:tc>
        <w:tc>
          <w:tcPr>
            <w:tcW w:w="4323" w:type="dxa"/>
            <w:tcBorders>
              <w:top w:val="single" w:color="000000" w:sz="4" w:space="0"/>
              <w:left w:val="single" w:color="000000" w:sz="4" w:space="0"/>
              <w:bottom w:val="single" w:color="000000" w:sz="4" w:space="0"/>
            </w:tcBorders>
            <w:vAlign w:val="center"/>
          </w:tcPr>
          <w:p>
            <w:pPr>
              <w:adjustRightInd w:val="0"/>
              <w:snapToGrid w:val="0"/>
              <w:spacing w:line="300" w:lineRule="exact"/>
              <w:rPr>
                <w:rFonts w:hint="default" w:ascii="仿宋_GB2312" w:hAnsi="仿宋_GB2312" w:eastAsia="仿宋_GB2312" w:cs="仿宋_GB2312"/>
                <w:spacing w:val="2"/>
                <w:sz w:val="28"/>
                <w:szCs w:val="28"/>
                <w:u w:val="none"/>
                <w:lang w:val="en-US" w:eastAsia="zh-CN"/>
              </w:rPr>
            </w:pPr>
            <w:r>
              <w:rPr>
                <w:rFonts w:hint="eastAsia" w:ascii="仿宋_GB2312" w:hAnsi="仿宋_GB2312" w:eastAsia="仿宋_GB2312" w:cs="仿宋_GB2312"/>
                <w:spacing w:val="2"/>
                <w:sz w:val="28"/>
                <w:szCs w:val="28"/>
                <w:highlight w:val="none"/>
                <w:u w:val="none"/>
              </w:rPr>
              <w:t>村民</w:t>
            </w:r>
            <w:r>
              <w:rPr>
                <w:rFonts w:hint="eastAsia" w:ascii="仿宋_GB2312" w:hAnsi="仿宋_GB2312" w:eastAsia="仿宋_GB2312" w:cs="仿宋_GB2312"/>
                <w:spacing w:val="2"/>
                <w:sz w:val="28"/>
                <w:szCs w:val="28"/>
                <w:u w:val="none"/>
              </w:rPr>
              <w:t>广场、停车场、为农综合服务点、睦邻点、老年活动室、村民活动中心、公共厕所、垃圾箱房等</w:t>
            </w:r>
          </w:p>
        </w:tc>
        <w:tc>
          <w:tcPr>
            <w:tcW w:w="1761" w:type="dxa"/>
            <w:tcBorders>
              <w:top w:val="single" w:color="000000" w:sz="2" w:space="0"/>
              <w:bottom w:val="single" w:color="000000" w:sz="2" w:space="0"/>
            </w:tcBorders>
            <w:vAlign w:val="center"/>
          </w:tcPr>
          <w:p>
            <w:pPr>
              <w:adjustRightInd w:val="0"/>
              <w:snapToGrid w:val="0"/>
              <w:spacing w:line="300" w:lineRule="exact"/>
              <w:jc w:val="center"/>
              <w:rPr>
                <w:rFonts w:ascii="仿宋_GB2312" w:hAnsi="仿宋_GB2312" w:eastAsia="仿宋_GB2312" w:cs="仿宋_GB2312"/>
                <w:spacing w:val="-3"/>
                <w:sz w:val="28"/>
                <w:szCs w:val="28"/>
                <w:u w:val="none"/>
              </w:rPr>
            </w:pPr>
            <w:r>
              <w:rPr>
                <w:rFonts w:hint="eastAsia" w:ascii="仿宋_GB2312" w:hAnsi="仿宋_GB2312" w:eastAsia="仿宋_GB2312" w:cs="仿宋_GB2312"/>
                <w:spacing w:val="-3"/>
                <w:sz w:val="28"/>
                <w:szCs w:val="28"/>
                <w:u w:val="none"/>
              </w:rPr>
              <w:t>30</w:t>
            </w:r>
          </w:p>
        </w:tc>
      </w:tr>
    </w:tbl>
    <w:p>
      <w:pPr>
        <w:adjustRightInd w:val="0"/>
        <w:snapToGrid w:val="0"/>
        <w:spacing w:line="560" w:lineRule="exact"/>
        <w:ind w:firstLine="640" w:firstLineChars="200"/>
        <w:rPr>
          <w:rFonts w:ascii="黑体" w:hAnsi="黑体" w:eastAsia="黑体" w:cs="黑体"/>
          <w:sz w:val="32"/>
          <w:szCs w:val="32"/>
          <w:highlight w:val="none"/>
          <w:u w:val="none"/>
        </w:rPr>
      </w:pPr>
      <w:r>
        <w:rPr>
          <w:rFonts w:hint="eastAsia" w:ascii="黑体" w:hAnsi="黑体" w:eastAsia="黑体" w:cs="黑体"/>
          <w:sz w:val="32"/>
          <w:szCs w:val="32"/>
          <w:highlight w:val="none"/>
          <w:u w:val="none"/>
          <w:lang w:eastAsia="zh-CN"/>
        </w:rPr>
        <w:t>七、</w:t>
      </w:r>
      <w:r>
        <w:rPr>
          <w:rFonts w:hint="eastAsia" w:ascii="黑体" w:hAnsi="黑体" w:eastAsia="黑体" w:cs="黑体"/>
          <w:sz w:val="32"/>
          <w:szCs w:val="32"/>
          <w:highlight w:val="none"/>
          <w:u w:val="none"/>
        </w:rPr>
        <w:t>处置程序</w:t>
      </w:r>
    </w:p>
    <w:p>
      <w:pPr>
        <w:adjustRightInd w:val="0"/>
        <w:snapToGrid w:val="0"/>
        <w:spacing w:line="560" w:lineRule="exact"/>
        <w:ind w:firstLine="640" w:firstLineChars="200"/>
        <w:rPr>
          <w:rFonts w:ascii="仿宋_GB2312" w:hAnsi="仿宋_GB2312" w:eastAsia="仿宋_GB2312" w:cs="仿宋_GB2312"/>
          <w:sz w:val="32"/>
          <w:szCs w:val="32"/>
          <w:u w:val="none"/>
        </w:rPr>
      </w:pPr>
      <w:r>
        <w:rPr>
          <w:rFonts w:hint="eastAsia" w:ascii="楷体_GB2312" w:hAnsi="楷体_GB2312" w:eastAsia="楷体_GB2312" w:cs="楷体_GB2312"/>
          <w:sz w:val="32"/>
          <w:szCs w:val="32"/>
          <w:u w:val="none"/>
        </w:rPr>
        <w:t>第十二条</w:t>
      </w:r>
      <w:r>
        <w:rPr>
          <w:rFonts w:hint="eastAsia" w:ascii="仿宋_GB2312" w:hAnsi="仿宋_GB2312" w:eastAsia="仿宋_GB2312" w:cs="仿宋_GB2312"/>
          <w:sz w:val="32"/>
          <w:szCs w:val="32"/>
          <w:u w:val="none"/>
        </w:rPr>
        <w:t xml:space="preserve">  农业</w:t>
      </w:r>
      <w:r>
        <w:rPr>
          <w:rFonts w:hint="eastAsia" w:ascii="仿宋_GB2312" w:hAnsi="仿宋_GB2312" w:eastAsia="仿宋_GB2312" w:cs="仿宋_GB2312"/>
          <w:sz w:val="32"/>
          <w:szCs w:val="32"/>
          <w:u w:val="none"/>
          <w:lang w:eastAsia="zh-CN"/>
        </w:rPr>
        <w:t>农村</w:t>
      </w:r>
      <w:r>
        <w:rPr>
          <w:rFonts w:hint="eastAsia" w:ascii="仿宋_GB2312" w:hAnsi="仿宋_GB2312" w:eastAsia="仿宋_GB2312" w:cs="仿宋_GB2312"/>
          <w:sz w:val="32"/>
          <w:szCs w:val="32"/>
          <w:u w:val="none"/>
        </w:rPr>
        <w:t>财政性资产处置和重建</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应当按照“全面规划、合理利用、用养结合、严格保护”的方针和“公开、公平、公正”原则稳妥推进</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规范履行各项程序。拟处置的农业农村财政性资产权属应当清晰</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存在权属纠纷的</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须界定明确后方可处置。已达到最低使用年限但仍可继续使用的农业农村设施</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应当视情继续使用。</w:t>
      </w:r>
    </w:p>
    <w:p>
      <w:pPr>
        <w:pStyle w:val="2"/>
        <w:adjustRightInd w:val="0"/>
        <w:snapToGrid w:val="0"/>
        <w:spacing w:line="560" w:lineRule="exact"/>
        <w:ind w:firstLine="640" w:firstLineChars="200"/>
        <w:rPr>
          <w:rFonts w:hint="eastAsia" w:ascii="仿宋_GB2312" w:hAnsi="仿宋_GB2312" w:eastAsia="仿宋_GB2312" w:cs="仿宋_GB2312"/>
          <w:sz w:val="32"/>
          <w:szCs w:val="32"/>
          <w:u w:val="none"/>
        </w:rPr>
      </w:pPr>
      <w:r>
        <w:rPr>
          <w:rFonts w:hint="eastAsia" w:ascii="楷体_GB2312" w:hAnsi="楷体_GB2312" w:eastAsia="楷体_GB2312" w:cs="楷体_GB2312"/>
          <w:sz w:val="32"/>
          <w:szCs w:val="32"/>
          <w:u w:val="none"/>
        </w:rPr>
        <w:t>第十三条</w:t>
      </w:r>
      <w:r>
        <w:rPr>
          <w:rFonts w:hint="eastAsia" w:ascii="仿宋_GB2312" w:hAnsi="仿宋_GB2312" w:eastAsia="仿宋_GB2312" w:cs="仿宋_GB2312"/>
          <w:sz w:val="32"/>
          <w:szCs w:val="32"/>
          <w:u w:val="none"/>
        </w:rPr>
        <w:t xml:space="preserve">  对达到使用年限的农业农村财政性资产进行报废、开发、转让等处置</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由各乡镇人民政府及有关单位按照资产处置的管理流程及权限进行处置，并将处置方案报区农业农村委和区财政局备案。</w:t>
      </w:r>
    </w:p>
    <w:p>
      <w:pPr>
        <w:pStyle w:val="2"/>
        <w:adjustRightInd w:val="0"/>
        <w:snapToGrid w:val="0"/>
        <w:spacing w:line="560" w:lineRule="exact"/>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对未达使用年限的农业农村财政性资产进行报废、开发、转让等处置</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属市级部门批复项目</w:t>
      </w:r>
      <w:r>
        <w:rPr>
          <w:rFonts w:hint="eastAsia" w:ascii="仿宋_GB2312" w:hAnsi="仿宋_GB2312" w:eastAsia="仿宋_GB2312" w:cs="仿宋_GB2312"/>
          <w:sz w:val="32"/>
          <w:szCs w:val="32"/>
          <w:u w:val="none"/>
          <w:lang w:eastAsia="zh-CN"/>
        </w:rPr>
        <w:t>（含使用市级资金的区级部门批复项目）</w:t>
      </w:r>
      <w:r>
        <w:rPr>
          <w:rFonts w:hint="eastAsia" w:ascii="仿宋_GB2312" w:hAnsi="仿宋_GB2312" w:eastAsia="仿宋_GB2312" w:cs="仿宋_GB2312"/>
          <w:sz w:val="32"/>
          <w:szCs w:val="32"/>
          <w:u w:val="none"/>
        </w:rPr>
        <w:t>形成的财政性资产，须由各乡镇人民政府及有关单位报送区农业农村委、区财政局</w:t>
      </w:r>
      <w:r>
        <w:rPr>
          <w:rFonts w:hint="eastAsia" w:ascii="仿宋_GB2312" w:hAnsi="仿宋_GB2312" w:eastAsia="仿宋_GB2312" w:cs="仿宋_GB2312"/>
          <w:sz w:val="32"/>
          <w:szCs w:val="32"/>
          <w:u w:val="none"/>
          <w:lang w:eastAsia="zh-CN"/>
        </w:rPr>
        <w:t>初审，</w:t>
      </w:r>
      <w:r>
        <w:rPr>
          <w:rFonts w:hint="eastAsia" w:ascii="仿宋_GB2312" w:hAnsi="仿宋_GB2312" w:eastAsia="仿宋_GB2312" w:cs="仿宋_GB2312"/>
          <w:sz w:val="32"/>
          <w:szCs w:val="32"/>
          <w:u w:val="none"/>
        </w:rPr>
        <w:t>初审</w:t>
      </w:r>
      <w:r>
        <w:rPr>
          <w:rFonts w:hint="eastAsia" w:ascii="仿宋_GB2312" w:hAnsi="仿宋_GB2312" w:eastAsia="仿宋_GB2312" w:cs="仿宋_GB2312"/>
          <w:sz w:val="32"/>
          <w:szCs w:val="32"/>
          <w:u w:val="none"/>
          <w:lang w:eastAsia="zh-CN"/>
        </w:rPr>
        <w:t>通过</w:t>
      </w:r>
      <w:r>
        <w:rPr>
          <w:rFonts w:hint="eastAsia" w:ascii="仿宋_GB2312" w:hAnsi="仿宋_GB2312" w:eastAsia="仿宋_GB2312" w:cs="仿宋_GB2312"/>
          <w:sz w:val="32"/>
          <w:szCs w:val="32"/>
          <w:u w:val="none"/>
        </w:rPr>
        <w:t>后，由区农业农村委会同区财政局上报市农业农村委会</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市财政局</w:t>
      </w:r>
      <w:r>
        <w:rPr>
          <w:rFonts w:hint="eastAsia" w:ascii="仿宋_GB2312" w:hAnsi="仿宋_GB2312" w:eastAsia="仿宋_GB2312" w:cs="仿宋_GB2312"/>
          <w:sz w:val="32"/>
          <w:szCs w:val="32"/>
          <w:u w:val="none"/>
          <w:lang w:eastAsia="zh-CN"/>
        </w:rPr>
        <w:t>审批，同意</w:t>
      </w:r>
      <w:r>
        <w:rPr>
          <w:rFonts w:hint="eastAsia" w:ascii="仿宋_GB2312" w:hAnsi="仿宋_GB2312" w:eastAsia="仿宋_GB2312" w:cs="仿宋_GB2312"/>
          <w:sz w:val="32"/>
          <w:szCs w:val="32"/>
          <w:u w:val="none"/>
        </w:rPr>
        <w:t>后方可实施；属区级部门批复项目（</w:t>
      </w:r>
      <w:r>
        <w:rPr>
          <w:rFonts w:hint="eastAsia" w:ascii="仿宋_GB2312" w:hAnsi="仿宋_GB2312" w:eastAsia="仿宋_GB2312" w:cs="仿宋_GB2312"/>
          <w:sz w:val="32"/>
          <w:szCs w:val="32"/>
          <w:u w:val="none"/>
          <w:lang w:eastAsia="zh-CN"/>
        </w:rPr>
        <w:t>不含使用市级财政资金的区级部门批复项目，</w:t>
      </w:r>
      <w:r>
        <w:rPr>
          <w:rFonts w:hint="eastAsia" w:ascii="仿宋_GB2312" w:hAnsi="仿宋_GB2312" w:eastAsia="仿宋_GB2312" w:cs="仿宋_GB2312"/>
          <w:sz w:val="32"/>
          <w:szCs w:val="32"/>
          <w:u w:val="none"/>
        </w:rPr>
        <w:t>不含转批项目）形成的财政性资产，须由各乡镇人民政府及有关单位报送区农业农村委、区财政局</w:t>
      </w:r>
      <w:r>
        <w:rPr>
          <w:rFonts w:hint="eastAsia" w:ascii="仿宋_GB2312" w:hAnsi="仿宋_GB2312" w:eastAsia="仿宋_GB2312" w:cs="仿宋_GB2312"/>
          <w:sz w:val="32"/>
          <w:szCs w:val="32"/>
          <w:u w:val="none"/>
          <w:lang w:eastAsia="zh-CN"/>
        </w:rPr>
        <w:t>审批，同意</w:t>
      </w:r>
      <w:r>
        <w:rPr>
          <w:rFonts w:hint="eastAsia" w:ascii="仿宋_GB2312" w:hAnsi="仿宋_GB2312" w:eastAsia="仿宋_GB2312" w:cs="仿宋_GB2312"/>
          <w:sz w:val="32"/>
          <w:szCs w:val="32"/>
          <w:u w:val="none"/>
        </w:rPr>
        <w:t>后方可实施。</w:t>
      </w:r>
    </w:p>
    <w:p>
      <w:pPr>
        <w:pStyle w:val="2"/>
        <w:adjustRightInd w:val="0"/>
        <w:snapToGrid w:val="0"/>
        <w:spacing w:line="560" w:lineRule="exact"/>
        <w:ind w:firstLine="640" w:firstLineChars="200"/>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eastAsia="zh-CN"/>
        </w:rPr>
        <w:t>因不可抗力造成农业农村财政性资产损失（无法修复使用或无修复价值），由</w:t>
      </w:r>
      <w:r>
        <w:rPr>
          <w:rFonts w:hint="eastAsia" w:ascii="仿宋_GB2312" w:hAnsi="仿宋_GB2312" w:eastAsia="仿宋_GB2312" w:cs="仿宋_GB2312"/>
          <w:sz w:val="32"/>
          <w:szCs w:val="32"/>
          <w:u w:val="none"/>
        </w:rPr>
        <w:t>各乡镇人民政府及有关单位</w:t>
      </w:r>
      <w:r>
        <w:rPr>
          <w:rFonts w:hint="eastAsia" w:ascii="仿宋_GB2312" w:hAnsi="仿宋_GB2312" w:eastAsia="仿宋_GB2312" w:cs="仿宋_GB2312"/>
          <w:sz w:val="32"/>
          <w:szCs w:val="32"/>
          <w:u w:val="none"/>
          <w:lang w:eastAsia="zh-CN"/>
        </w:rPr>
        <w:t>拟定处置方案，</w:t>
      </w:r>
      <w:r>
        <w:rPr>
          <w:rFonts w:hint="eastAsia" w:ascii="仿宋_GB2312" w:hAnsi="仿宋_GB2312" w:eastAsia="仿宋_GB2312" w:cs="仿宋_GB2312"/>
          <w:sz w:val="32"/>
          <w:szCs w:val="32"/>
          <w:u w:val="none"/>
        </w:rPr>
        <w:t>报送区农业农村委、区财政局</w:t>
      </w:r>
      <w:r>
        <w:rPr>
          <w:rFonts w:hint="eastAsia" w:ascii="仿宋_GB2312" w:hAnsi="仿宋_GB2312" w:eastAsia="仿宋_GB2312" w:cs="仿宋_GB2312"/>
          <w:sz w:val="32"/>
          <w:szCs w:val="32"/>
          <w:u w:val="none"/>
          <w:lang w:eastAsia="zh-CN"/>
        </w:rPr>
        <w:t>审核，其中涉及市级财政资金的，需报</w:t>
      </w:r>
      <w:r>
        <w:rPr>
          <w:rFonts w:hint="eastAsia" w:ascii="仿宋_GB2312" w:hAnsi="仿宋_GB2312" w:eastAsia="仿宋_GB2312" w:cs="仿宋_GB2312"/>
          <w:sz w:val="32"/>
          <w:szCs w:val="32"/>
          <w:u w:val="none"/>
        </w:rPr>
        <w:t>市农业农村委会</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市财政局</w:t>
      </w:r>
      <w:r>
        <w:rPr>
          <w:rFonts w:hint="eastAsia" w:ascii="仿宋_GB2312" w:hAnsi="仿宋_GB2312" w:eastAsia="仿宋_GB2312" w:cs="仿宋_GB2312"/>
          <w:sz w:val="32"/>
          <w:szCs w:val="32"/>
          <w:u w:val="none"/>
          <w:lang w:eastAsia="zh-CN"/>
        </w:rPr>
        <w:t>复审。</w:t>
      </w:r>
    </w:p>
    <w:p>
      <w:pPr>
        <w:pStyle w:val="2"/>
        <w:adjustRightInd w:val="0"/>
        <w:snapToGrid w:val="0"/>
        <w:spacing w:line="560" w:lineRule="exact"/>
        <w:ind w:firstLine="640" w:firstLineChars="200"/>
        <w:rPr>
          <w:rFonts w:ascii="仿宋_GB2312" w:hAnsi="仿宋_GB2312" w:eastAsia="仿宋_GB2312" w:cs="仿宋_GB2312"/>
          <w:sz w:val="32"/>
          <w:szCs w:val="32"/>
          <w:u w:val="none"/>
        </w:rPr>
      </w:pPr>
      <w:r>
        <w:rPr>
          <w:rFonts w:hint="eastAsia" w:ascii="楷体_GB2312" w:hAnsi="楷体_GB2312" w:eastAsia="楷体_GB2312" w:cs="楷体_GB2312"/>
          <w:sz w:val="32"/>
          <w:szCs w:val="32"/>
          <w:u w:val="none"/>
        </w:rPr>
        <w:t>第十四条</w:t>
      </w:r>
      <w:r>
        <w:rPr>
          <w:rFonts w:hint="eastAsia" w:ascii="仿宋_GB2312" w:hAnsi="仿宋_GB2312" w:eastAsia="仿宋_GB2312" w:cs="仿宋_GB2312"/>
          <w:sz w:val="32"/>
          <w:szCs w:val="32"/>
          <w:u w:val="none"/>
        </w:rPr>
        <w:t xml:space="preserve">  各乡镇人民政府及有关</w:t>
      </w:r>
      <w:r>
        <w:rPr>
          <w:rFonts w:hint="eastAsia" w:ascii="仿宋_GB2312" w:hAnsi="仿宋_GB2312" w:eastAsia="仿宋_GB2312" w:cs="仿宋_GB2312"/>
          <w:sz w:val="32"/>
          <w:szCs w:val="32"/>
          <w:u w:val="none"/>
          <w:lang w:eastAsia="zh-CN"/>
        </w:rPr>
        <w:t>单位</w:t>
      </w:r>
      <w:r>
        <w:rPr>
          <w:rFonts w:hint="eastAsia" w:ascii="仿宋_GB2312" w:hAnsi="仿宋_GB2312" w:eastAsia="仿宋_GB2312" w:cs="仿宋_GB2312"/>
          <w:sz w:val="32"/>
          <w:szCs w:val="32"/>
          <w:u w:val="none"/>
        </w:rPr>
        <w:t>应委托具有相应资质的社会专业机构对拟处置资产开展评估确定价值。农业农村财政性资产处置收入扣除相关税金、评估费、交易佣金等费用后，所取得的残值或补偿资金中涉及原财政性资金投入的，</w:t>
      </w:r>
      <w:r>
        <w:rPr>
          <w:rFonts w:hint="eastAsia" w:ascii="仿宋_GB2312" w:hAnsi="仿宋_GB2312" w:eastAsia="仿宋_GB2312" w:cs="仿宋_GB2312"/>
          <w:sz w:val="32"/>
          <w:szCs w:val="32"/>
          <w:u w:val="none"/>
          <w:lang w:eastAsia="zh-CN"/>
        </w:rPr>
        <w:t>根据项目归属上交对应的市、区两级财政国库</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eastAsia="zh-CN"/>
        </w:rPr>
        <w:t>对于市级审批处置的区属项目农业农村财政性资产取得的残值或补偿资金，按照市、区两级财政投入比例上缴对应的两级国库。</w:t>
      </w:r>
      <w:r>
        <w:rPr>
          <w:rFonts w:hint="eastAsia" w:ascii="仿宋_GB2312" w:hAnsi="仿宋_GB2312" w:eastAsia="仿宋_GB2312" w:cs="仿宋_GB2312"/>
          <w:sz w:val="32"/>
          <w:szCs w:val="32"/>
          <w:u w:val="none"/>
        </w:rPr>
        <w:t>社会主体投资参与项目建设而形成的资产处置收入归投资方所有。区农业农村委会同区财政局在资产完成处置后的三个月内</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将资产处置总结向市财政局、市农业农村委报备。</w:t>
      </w:r>
    </w:p>
    <w:p>
      <w:pPr>
        <w:adjustRightInd w:val="0"/>
        <w:snapToGrid w:val="0"/>
        <w:spacing w:line="560" w:lineRule="exact"/>
        <w:ind w:firstLine="640" w:firstLineChars="200"/>
        <w:rPr>
          <w:rFonts w:ascii="黑体" w:hAnsi="黑体" w:eastAsia="黑体" w:cs="黑体"/>
          <w:sz w:val="32"/>
          <w:szCs w:val="32"/>
          <w:highlight w:val="none"/>
          <w:u w:val="none"/>
        </w:rPr>
      </w:pPr>
      <w:r>
        <w:rPr>
          <w:rFonts w:hint="eastAsia" w:ascii="黑体" w:hAnsi="黑体" w:eastAsia="黑体" w:cs="黑体"/>
          <w:sz w:val="32"/>
          <w:szCs w:val="32"/>
          <w:highlight w:val="none"/>
          <w:u w:val="none"/>
          <w:lang w:eastAsia="zh-CN"/>
        </w:rPr>
        <w:t>八、</w:t>
      </w:r>
      <w:r>
        <w:rPr>
          <w:rFonts w:hint="eastAsia" w:ascii="黑体" w:hAnsi="黑体" w:eastAsia="黑体" w:cs="黑体"/>
          <w:sz w:val="32"/>
          <w:szCs w:val="32"/>
          <w:highlight w:val="none"/>
          <w:u w:val="none"/>
        </w:rPr>
        <w:t>档案管理</w:t>
      </w:r>
    </w:p>
    <w:p>
      <w:pPr>
        <w:adjustRightInd w:val="0"/>
        <w:snapToGrid w:val="0"/>
        <w:spacing w:line="560" w:lineRule="exact"/>
        <w:ind w:firstLine="640" w:firstLineChars="200"/>
        <w:rPr>
          <w:rFonts w:ascii="仿宋_GB2312" w:hAnsi="仿宋_GB2312" w:eastAsia="仿宋_GB2312" w:cs="仿宋_GB2312"/>
          <w:sz w:val="32"/>
          <w:szCs w:val="32"/>
          <w:highlight w:val="none"/>
          <w:u w:val="none"/>
        </w:rPr>
      </w:pPr>
      <w:r>
        <w:rPr>
          <w:rFonts w:hint="eastAsia" w:ascii="楷体_GB2312" w:hAnsi="楷体_GB2312" w:eastAsia="楷体_GB2312" w:cs="楷体_GB2312"/>
          <w:sz w:val="32"/>
          <w:szCs w:val="32"/>
          <w:highlight w:val="none"/>
          <w:u w:val="none"/>
        </w:rPr>
        <w:t>第十五条</w:t>
      </w:r>
      <w:r>
        <w:rPr>
          <w:rFonts w:hint="eastAsia" w:ascii="仿宋_GB2312" w:hAnsi="仿宋_GB2312" w:eastAsia="仿宋_GB2312" w:cs="仿宋_GB2312"/>
          <w:sz w:val="32"/>
          <w:szCs w:val="32"/>
          <w:highlight w:val="none"/>
          <w:u w:val="none"/>
        </w:rPr>
        <w:t xml:space="preserve">  项目竣工验收后，各乡镇人民政府及有关单位负责财政性资产登记和入账、处置等管理工作。落实专人做好项目档案收集、组卷、存档工作</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rPr>
        <w:t>建立健全资产登记入账工作。同时，加强资产运维过程的档案管理</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rPr>
        <w:t>及时反映农业</w:t>
      </w:r>
      <w:r>
        <w:rPr>
          <w:rFonts w:hint="eastAsia" w:ascii="仿宋_GB2312" w:hAnsi="仿宋_GB2312" w:eastAsia="仿宋_GB2312" w:cs="仿宋_GB2312"/>
          <w:sz w:val="32"/>
          <w:szCs w:val="32"/>
          <w:highlight w:val="none"/>
          <w:u w:val="none"/>
          <w:lang w:eastAsia="zh-CN"/>
        </w:rPr>
        <w:t>农村</w:t>
      </w:r>
      <w:r>
        <w:rPr>
          <w:rFonts w:hint="eastAsia" w:ascii="仿宋_GB2312" w:hAnsi="仿宋_GB2312" w:eastAsia="仿宋_GB2312" w:cs="仿宋_GB2312"/>
          <w:sz w:val="32"/>
          <w:szCs w:val="32"/>
          <w:highlight w:val="none"/>
          <w:u w:val="none"/>
        </w:rPr>
        <w:t>设施资产价值和实物变动情况</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rPr>
        <w:t>对资产相关资料的客观性、真实性和合法性负责。</w:t>
      </w:r>
    </w:p>
    <w:p>
      <w:pPr>
        <w:adjustRightInd w:val="0"/>
        <w:snapToGrid w:val="0"/>
        <w:spacing w:line="560" w:lineRule="exact"/>
        <w:ind w:firstLine="640" w:firstLineChars="200"/>
        <w:rPr>
          <w:rFonts w:ascii="黑体" w:hAnsi="黑体" w:eastAsia="黑体" w:cs="黑体"/>
          <w:sz w:val="32"/>
          <w:szCs w:val="32"/>
          <w:highlight w:val="none"/>
          <w:u w:val="none"/>
        </w:rPr>
      </w:pPr>
      <w:r>
        <w:rPr>
          <w:rFonts w:hint="eastAsia" w:ascii="黑体" w:hAnsi="黑体" w:eastAsia="黑体" w:cs="黑体"/>
          <w:sz w:val="32"/>
          <w:szCs w:val="32"/>
          <w:highlight w:val="none"/>
          <w:u w:val="none"/>
          <w:lang w:eastAsia="zh-CN"/>
        </w:rPr>
        <w:t>九、</w:t>
      </w:r>
      <w:r>
        <w:rPr>
          <w:rFonts w:hint="eastAsia" w:ascii="黑体" w:hAnsi="黑体" w:eastAsia="黑体" w:cs="黑体"/>
          <w:sz w:val="32"/>
          <w:szCs w:val="32"/>
          <w:highlight w:val="none"/>
          <w:u w:val="none"/>
        </w:rPr>
        <w:t>绩效管理</w:t>
      </w:r>
    </w:p>
    <w:p>
      <w:pPr>
        <w:adjustRightInd w:val="0"/>
        <w:snapToGrid w:val="0"/>
        <w:spacing w:line="560" w:lineRule="exact"/>
        <w:ind w:firstLine="640" w:firstLineChars="200"/>
        <w:rPr>
          <w:rFonts w:ascii="仿宋_GB2312" w:hAnsi="仿宋_GB2312" w:eastAsia="仿宋_GB2312" w:cs="仿宋_GB2312"/>
          <w:sz w:val="32"/>
          <w:szCs w:val="32"/>
          <w:u w:val="none"/>
        </w:rPr>
      </w:pPr>
      <w:r>
        <w:rPr>
          <w:rFonts w:hint="eastAsia" w:ascii="楷体_GB2312" w:hAnsi="楷体_GB2312" w:eastAsia="楷体_GB2312" w:cs="楷体_GB2312"/>
          <w:sz w:val="32"/>
          <w:szCs w:val="32"/>
          <w:u w:val="none"/>
        </w:rPr>
        <w:t>第十六条</w:t>
      </w:r>
      <w:r>
        <w:rPr>
          <w:rFonts w:hint="eastAsia" w:ascii="仿宋_GB2312" w:hAnsi="仿宋_GB2312" w:eastAsia="仿宋_GB2312" w:cs="仿宋_GB2312"/>
          <w:sz w:val="32"/>
          <w:szCs w:val="32"/>
          <w:u w:val="none"/>
        </w:rPr>
        <w:t xml:space="preserve">  区农业农村委会同区财政局每年开展农业农村财政性资产管理工作的绩效考核评价，考核各乡镇人民政府及有关单位在财政性资产的日常管理工作，</w:t>
      </w:r>
      <w:r>
        <w:rPr>
          <w:rFonts w:hint="eastAsia" w:ascii="仿宋_GB2312" w:hAnsi="仿宋_GB2312" w:eastAsia="仿宋_GB2312" w:cs="仿宋_GB2312"/>
          <w:sz w:val="32"/>
          <w:szCs w:val="32"/>
          <w:u w:val="none"/>
          <w:lang w:val="en-US" w:eastAsia="zh-CN"/>
        </w:rPr>
        <w:t>合理制定</w:t>
      </w:r>
      <w:r>
        <w:rPr>
          <w:rFonts w:hint="eastAsia" w:ascii="仿宋_GB2312" w:hAnsi="仿宋_GB2312" w:eastAsia="仿宋_GB2312" w:cs="仿宋_GB2312"/>
          <w:sz w:val="32"/>
          <w:szCs w:val="32"/>
          <w:u w:val="none"/>
        </w:rPr>
        <w:t>年度区级财政性资产绩效考核清单，重点考核财政性资产登记、移交、日常使用、处置等方面工作，并对不规范管理财政性资产的乡镇及有关单位进行督查整改，并作为后续农业</w:t>
      </w:r>
      <w:r>
        <w:rPr>
          <w:rFonts w:hint="eastAsia" w:ascii="仿宋_GB2312" w:hAnsi="仿宋_GB2312" w:eastAsia="仿宋_GB2312" w:cs="仿宋_GB2312"/>
          <w:sz w:val="32"/>
          <w:szCs w:val="32"/>
          <w:u w:val="none"/>
          <w:lang w:eastAsia="zh-CN"/>
        </w:rPr>
        <w:t>农村</w:t>
      </w:r>
      <w:r>
        <w:rPr>
          <w:rFonts w:hint="eastAsia" w:ascii="仿宋_GB2312" w:hAnsi="仿宋_GB2312" w:eastAsia="仿宋_GB2312" w:cs="仿宋_GB2312"/>
          <w:sz w:val="32"/>
          <w:szCs w:val="32"/>
          <w:u w:val="none"/>
        </w:rPr>
        <w:t>建设项目资金安排的重要依据。</w:t>
      </w:r>
    </w:p>
    <w:p>
      <w:pPr>
        <w:adjustRightInd w:val="0"/>
        <w:snapToGrid w:val="0"/>
        <w:spacing w:line="560" w:lineRule="exact"/>
        <w:ind w:firstLine="640" w:firstLineChars="200"/>
        <w:rPr>
          <w:rFonts w:ascii="黑体" w:hAnsi="黑体" w:eastAsia="黑体" w:cs="黑体"/>
          <w:sz w:val="32"/>
          <w:szCs w:val="32"/>
          <w:highlight w:val="none"/>
          <w:u w:val="none"/>
        </w:rPr>
      </w:pPr>
      <w:r>
        <w:rPr>
          <w:rFonts w:hint="eastAsia" w:ascii="黑体" w:hAnsi="黑体" w:eastAsia="黑体" w:cs="黑体"/>
          <w:sz w:val="32"/>
          <w:szCs w:val="32"/>
          <w:highlight w:val="none"/>
          <w:u w:val="none"/>
          <w:lang w:eastAsia="zh-CN"/>
        </w:rPr>
        <w:t>十、</w:t>
      </w:r>
      <w:r>
        <w:rPr>
          <w:rFonts w:hint="eastAsia" w:ascii="黑体" w:hAnsi="黑体" w:eastAsia="黑体" w:cs="黑体"/>
          <w:sz w:val="32"/>
          <w:szCs w:val="32"/>
          <w:highlight w:val="none"/>
          <w:u w:val="none"/>
        </w:rPr>
        <w:t>监督检查</w:t>
      </w:r>
    </w:p>
    <w:p>
      <w:pPr>
        <w:adjustRightInd w:val="0"/>
        <w:snapToGrid w:val="0"/>
        <w:spacing w:line="560" w:lineRule="exact"/>
        <w:ind w:firstLine="640" w:firstLineChars="200"/>
        <w:rPr>
          <w:rFonts w:ascii="仿宋_GB2312" w:hAnsi="仿宋_GB2312" w:eastAsia="仿宋_GB2312" w:cs="仿宋_GB2312"/>
          <w:sz w:val="32"/>
          <w:szCs w:val="32"/>
          <w:highlight w:val="none"/>
          <w:u w:val="none"/>
        </w:rPr>
      </w:pPr>
      <w:r>
        <w:rPr>
          <w:rFonts w:hint="eastAsia" w:ascii="楷体_GB2312" w:hAnsi="楷体_GB2312" w:eastAsia="楷体_GB2312" w:cs="楷体_GB2312"/>
          <w:sz w:val="32"/>
          <w:szCs w:val="32"/>
          <w:highlight w:val="none"/>
          <w:u w:val="none"/>
        </w:rPr>
        <w:t>第十七条</w:t>
      </w:r>
      <w:r>
        <w:rPr>
          <w:rFonts w:hint="eastAsia" w:ascii="仿宋_GB2312" w:hAnsi="仿宋_GB2312" w:eastAsia="仿宋_GB2312" w:cs="仿宋_GB2312"/>
          <w:sz w:val="32"/>
          <w:szCs w:val="32"/>
          <w:highlight w:val="none"/>
          <w:u w:val="none"/>
        </w:rPr>
        <w:t xml:space="preserve">  为维护农业农村设施和管护资金的安全完整</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rPr>
        <w:t>任何单位和个人有虚报冒领公共资金</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rPr>
        <w:t>擅自占有、使用和处置农业</w:t>
      </w:r>
      <w:r>
        <w:rPr>
          <w:rFonts w:hint="eastAsia" w:ascii="仿宋_GB2312" w:hAnsi="仿宋_GB2312" w:eastAsia="仿宋_GB2312" w:cs="仿宋_GB2312"/>
          <w:sz w:val="32"/>
          <w:szCs w:val="32"/>
          <w:highlight w:val="none"/>
          <w:u w:val="none"/>
          <w:lang w:eastAsia="zh-CN"/>
        </w:rPr>
        <w:t>农村</w:t>
      </w:r>
      <w:r>
        <w:rPr>
          <w:rFonts w:hint="eastAsia" w:ascii="仿宋_GB2312" w:hAnsi="仿宋_GB2312" w:eastAsia="仿宋_GB2312" w:cs="仿宋_GB2312"/>
          <w:sz w:val="32"/>
          <w:szCs w:val="32"/>
          <w:highlight w:val="none"/>
          <w:u w:val="none"/>
        </w:rPr>
        <w:t>资产或管护资金</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rPr>
        <w:t>未按规定缴纳处置收益</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rPr>
        <w:t>以及违反相关规定造成财政性资产资金流失等行为</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rPr>
        <w:t>按照《中华人民共和国预算法》《财政违法行为处罚处分条例》等</w:t>
      </w:r>
      <w:r>
        <w:rPr>
          <w:rFonts w:ascii="仿宋_GB2312" w:hAnsi="仿宋_GB2312" w:eastAsia="仿宋_GB2312" w:cs="仿宋_GB2312"/>
          <w:sz w:val="32"/>
          <w:szCs w:val="32"/>
          <w:highlight w:val="none"/>
          <w:u w:val="none"/>
        </w:rPr>
        <w:t>规定</w:t>
      </w:r>
      <w:r>
        <w:rPr>
          <w:rFonts w:hint="eastAsia" w:ascii="仿宋_GB2312" w:hAnsi="仿宋_GB2312" w:eastAsia="仿宋_GB2312" w:cs="仿宋_GB2312"/>
          <w:sz w:val="32"/>
          <w:szCs w:val="32"/>
          <w:highlight w:val="none"/>
          <w:u w:val="none"/>
        </w:rPr>
        <w:t>追究相应责任</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rPr>
        <w:t>涉嫌犯罪的</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rPr>
        <w:t>移送司法机关处理。</w:t>
      </w:r>
    </w:p>
    <w:p>
      <w:pPr>
        <w:adjustRightInd w:val="0"/>
        <w:snapToGrid w:val="0"/>
        <w:spacing w:line="560" w:lineRule="exact"/>
        <w:ind w:firstLine="640" w:firstLineChars="200"/>
        <w:rPr>
          <w:rFonts w:ascii="仿宋_GB2312" w:hAnsi="仿宋_GB2312" w:eastAsia="仿宋_GB2312" w:cs="仿宋_GB2312"/>
          <w:sz w:val="32"/>
          <w:szCs w:val="32"/>
          <w:highlight w:val="none"/>
          <w:u w:val="none"/>
        </w:rPr>
      </w:pPr>
      <w:r>
        <w:rPr>
          <w:rFonts w:hint="eastAsia" w:ascii="楷体_GB2312" w:hAnsi="楷体_GB2312" w:eastAsia="楷体_GB2312" w:cs="楷体_GB2312"/>
          <w:sz w:val="32"/>
          <w:szCs w:val="32"/>
          <w:highlight w:val="none"/>
          <w:u w:val="none"/>
        </w:rPr>
        <w:t>第十八条</w:t>
      </w:r>
      <w:r>
        <w:rPr>
          <w:rFonts w:hint="eastAsia" w:ascii="仿宋_GB2312" w:hAnsi="仿宋_GB2312" w:eastAsia="仿宋_GB2312" w:cs="仿宋_GB2312"/>
          <w:sz w:val="32"/>
          <w:szCs w:val="32"/>
          <w:highlight w:val="none"/>
          <w:u w:val="none"/>
        </w:rPr>
        <w:t xml:space="preserve">  </w:t>
      </w:r>
      <w:r>
        <w:rPr>
          <w:rFonts w:hint="eastAsia" w:ascii="仿宋_GB2312" w:hAnsi="仿宋_GB2312" w:eastAsia="仿宋_GB2312" w:cs="仿宋_GB2312"/>
          <w:sz w:val="32"/>
          <w:szCs w:val="32"/>
          <w:highlight w:val="none"/>
          <w:u w:val="none"/>
          <w:lang w:val="en-US" w:eastAsia="zh-CN"/>
        </w:rPr>
        <w:t>各乡镇人民政府及有关单位应坚决</w:t>
      </w:r>
      <w:r>
        <w:rPr>
          <w:rFonts w:hint="eastAsia" w:ascii="仿宋_GB2312" w:hAnsi="仿宋_GB2312" w:eastAsia="仿宋_GB2312" w:cs="仿宋_GB2312"/>
          <w:sz w:val="32"/>
          <w:szCs w:val="32"/>
          <w:highlight w:val="none"/>
          <w:u w:val="none"/>
        </w:rPr>
        <w:t>杜绝各种非法处置、占用、丢失、人为损毁农业农村设施(设备)现象的发生</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rPr>
        <w:t>在管理过程中存在滥用职权、玩忽职守、徇私舞弊等违法违纪行为的</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rPr>
        <w:t>按照《中华人民共和国预算法》《中华人民共和国公务员法》《中华人民共和国行政监察法》《财政违法行为处罚处分条例》等</w:t>
      </w:r>
      <w:r>
        <w:rPr>
          <w:rFonts w:ascii="仿宋_GB2312" w:hAnsi="仿宋_GB2312" w:eastAsia="仿宋_GB2312" w:cs="仿宋_GB2312"/>
          <w:sz w:val="32"/>
          <w:szCs w:val="32"/>
          <w:highlight w:val="none"/>
          <w:u w:val="none"/>
        </w:rPr>
        <w:t>有关规定</w:t>
      </w:r>
      <w:r>
        <w:rPr>
          <w:rFonts w:hint="eastAsia" w:ascii="仿宋_GB2312" w:hAnsi="仿宋_GB2312" w:eastAsia="仿宋_GB2312" w:cs="仿宋_GB2312"/>
          <w:sz w:val="32"/>
          <w:szCs w:val="32"/>
          <w:highlight w:val="none"/>
          <w:u w:val="none"/>
        </w:rPr>
        <w:t>追究相应责任</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rPr>
        <w:t>涉嫌犯罪的，移送司法机关处理。</w:t>
      </w:r>
    </w:p>
    <w:p>
      <w:pPr>
        <w:adjustRightInd w:val="0"/>
        <w:snapToGrid w:val="0"/>
        <w:spacing w:line="560" w:lineRule="exact"/>
        <w:ind w:firstLine="640" w:firstLineChars="200"/>
        <w:rPr>
          <w:rFonts w:ascii="黑体" w:hAnsi="黑体" w:eastAsia="黑体" w:cs="黑体"/>
          <w:sz w:val="32"/>
          <w:szCs w:val="32"/>
          <w:highlight w:val="none"/>
          <w:u w:val="none"/>
        </w:rPr>
      </w:pPr>
      <w:r>
        <w:rPr>
          <w:rFonts w:hint="eastAsia" w:ascii="黑体" w:hAnsi="黑体" w:eastAsia="黑体" w:cs="黑体"/>
          <w:sz w:val="32"/>
          <w:szCs w:val="32"/>
          <w:highlight w:val="none"/>
          <w:u w:val="none"/>
          <w:lang w:eastAsia="zh-CN"/>
        </w:rPr>
        <w:t>十一、</w:t>
      </w:r>
      <w:r>
        <w:rPr>
          <w:rFonts w:hint="eastAsia" w:ascii="黑体" w:hAnsi="黑体" w:eastAsia="黑体" w:cs="黑体"/>
          <w:sz w:val="32"/>
          <w:szCs w:val="32"/>
          <w:highlight w:val="none"/>
          <w:u w:val="none"/>
        </w:rPr>
        <w:t>附则</w:t>
      </w:r>
    </w:p>
    <w:p>
      <w:pPr>
        <w:adjustRightInd w:val="0"/>
        <w:snapToGrid w:val="0"/>
        <w:spacing w:line="560" w:lineRule="exact"/>
        <w:ind w:firstLine="640" w:firstLineChars="200"/>
        <w:rPr>
          <w:rFonts w:ascii="仿宋_GB2312" w:hAnsi="仿宋_GB2312" w:eastAsia="仿宋_GB2312" w:cs="仿宋_GB2312"/>
          <w:sz w:val="32"/>
          <w:szCs w:val="32"/>
          <w:u w:val="none"/>
        </w:rPr>
      </w:pPr>
      <w:r>
        <w:rPr>
          <w:rFonts w:hint="eastAsia" w:ascii="楷体_GB2312" w:hAnsi="楷体_GB2312" w:eastAsia="楷体_GB2312" w:cs="楷体_GB2312"/>
          <w:sz w:val="32"/>
          <w:szCs w:val="32"/>
          <w:u w:val="none"/>
        </w:rPr>
        <w:t>第十九条</w:t>
      </w:r>
      <w:r>
        <w:rPr>
          <w:rFonts w:hint="eastAsia" w:ascii="仿宋_GB2312" w:hAnsi="仿宋_GB2312" w:eastAsia="仿宋_GB2312" w:cs="仿宋_GB2312"/>
          <w:sz w:val="32"/>
          <w:szCs w:val="32"/>
          <w:u w:val="none"/>
        </w:rPr>
        <w:t xml:space="preserve">  本办法由区农业农村委负责解释。实施中，如与中央、市颁布的政策意见不一致，按照上级政策执行。</w:t>
      </w:r>
    </w:p>
    <w:p>
      <w:pPr>
        <w:adjustRightInd w:val="0"/>
        <w:snapToGrid w:val="0"/>
        <w:spacing w:line="560" w:lineRule="exact"/>
        <w:ind w:firstLine="640" w:firstLineChars="200"/>
        <w:jc w:val="left"/>
        <w:rPr>
          <w:rFonts w:hint="eastAsia" w:ascii="黑体" w:hAnsi="黑体" w:eastAsia="黑体" w:cs="黑体"/>
          <w:sz w:val="32"/>
          <w:szCs w:val="32"/>
        </w:rPr>
        <w:sectPr>
          <w:footerReference r:id="rId7" w:type="default"/>
          <w:pgSz w:w="11906" w:h="16838"/>
          <w:pgMar w:top="2098" w:right="1474" w:bottom="1985" w:left="1588" w:header="851" w:footer="1247" w:gutter="0"/>
          <w:pgNumType w:fmt="numberInDash"/>
          <w:cols w:space="425" w:num="1"/>
          <w:docGrid w:type="lines" w:linePitch="312" w:charSpace="0"/>
        </w:sectPr>
      </w:pPr>
      <w:r>
        <w:rPr>
          <w:rFonts w:hint="eastAsia" w:ascii="楷体_GB2312" w:hAnsi="楷体_GB2312" w:eastAsia="楷体_GB2312" w:cs="楷体_GB2312"/>
          <w:sz w:val="32"/>
          <w:szCs w:val="32"/>
          <w:u w:val="none"/>
        </w:rPr>
        <w:t>第二十条</w:t>
      </w:r>
      <w:r>
        <w:rPr>
          <w:rFonts w:hint="eastAsia" w:ascii="仿宋_GB2312" w:hAnsi="仿宋_GB2312" w:eastAsia="仿宋_GB2312" w:cs="仿宋_GB2312"/>
          <w:sz w:val="32"/>
          <w:szCs w:val="32"/>
          <w:u w:val="none"/>
        </w:rPr>
        <w:t xml:space="preserve">  本办法</w:t>
      </w:r>
      <w:r>
        <w:rPr>
          <w:rFonts w:hint="eastAsia" w:ascii="仿宋_GB2312" w:hAnsi="仿宋_GB2312" w:eastAsia="仿宋_GB2312" w:cs="仿宋_GB2312"/>
          <w:sz w:val="32"/>
          <w:szCs w:val="32"/>
          <w:u w:val="none"/>
          <w:lang w:eastAsia="zh-CN"/>
        </w:rPr>
        <w:t>自</w:t>
      </w:r>
      <w:r>
        <w:rPr>
          <w:rFonts w:hint="eastAsia" w:ascii="仿宋_GB2312" w:hAnsi="仿宋_GB2312" w:eastAsia="仿宋_GB2312" w:cs="仿宋_GB2312"/>
          <w:sz w:val="32"/>
          <w:szCs w:val="32"/>
          <w:u w:val="none"/>
          <w:lang w:val="en-US" w:eastAsia="zh-CN"/>
        </w:rPr>
        <w:t>202</w:t>
      </w:r>
      <w:r>
        <w:rPr>
          <w:rFonts w:hint="eastAsia" w:ascii="仿宋_GB2312" w:hAnsi="仿宋_GB2312" w:cs="仿宋_GB2312"/>
          <w:sz w:val="32"/>
          <w:szCs w:val="32"/>
          <w:u w:val="none"/>
          <w:lang w:val="en-US" w:eastAsia="zh-CN"/>
        </w:rPr>
        <w:t>5</w:t>
      </w:r>
      <w:r>
        <w:rPr>
          <w:rFonts w:hint="eastAsia" w:ascii="仿宋_GB2312" w:hAnsi="仿宋_GB2312" w:eastAsia="仿宋_GB2312" w:cs="仿宋_GB2312"/>
          <w:sz w:val="32"/>
          <w:szCs w:val="32"/>
          <w:u w:val="none"/>
          <w:lang w:val="en-US" w:eastAsia="zh-CN"/>
        </w:rPr>
        <w:t>年XX月XX日</w:t>
      </w:r>
      <w:r>
        <w:rPr>
          <w:rFonts w:hint="eastAsia" w:ascii="仿宋_GB2312" w:hAnsi="仿宋_GB2312" w:eastAsia="仿宋_GB2312" w:cs="仿宋_GB2312"/>
          <w:sz w:val="32"/>
          <w:szCs w:val="32"/>
          <w:u w:val="none"/>
        </w:rPr>
        <w:t>起</w:t>
      </w:r>
      <w:r>
        <w:rPr>
          <w:rFonts w:ascii="仿宋_GB2312" w:hAnsi="仿宋_GB2312" w:eastAsia="仿宋_GB2312" w:cs="仿宋_GB2312"/>
          <w:sz w:val="32"/>
          <w:szCs w:val="32"/>
          <w:u w:val="none"/>
        </w:rPr>
        <w:t>开始执行</w:t>
      </w:r>
      <w:r>
        <w:rPr>
          <w:rFonts w:hint="eastAsia" w:ascii="仿宋_GB2312" w:hAnsi="仿宋_GB2312" w:eastAsia="仿宋_GB2312" w:cs="仿宋_GB2312"/>
          <w:sz w:val="32"/>
          <w:szCs w:val="32"/>
          <w:u w:val="none"/>
        </w:rPr>
        <w:t>，有效期2年。原《关于印发崇明县农业经营主体使用财政性资产管理暂行办法实施细则的通知》（崇农经〔2014〕10号）同时废止。</w:t>
      </w:r>
    </w:p>
    <w:p>
      <w:pPr>
        <w:adjustRightInd w:val="0"/>
        <w:snapToGrid w:val="0"/>
        <w:spacing w:line="560" w:lineRule="exact"/>
        <w:jc w:val="left"/>
        <w:rPr>
          <w:rFonts w:ascii="黑体" w:hAnsi="黑体" w:eastAsia="黑体" w:cs="黑体"/>
          <w:sz w:val="32"/>
          <w:szCs w:val="32"/>
        </w:rPr>
      </w:pPr>
      <w:r>
        <w:rPr>
          <w:rFonts w:hint="eastAsia" w:ascii="黑体" w:hAnsi="黑体" w:eastAsia="黑体" w:cs="黑体"/>
          <w:sz w:val="32"/>
          <w:szCs w:val="32"/>
        </w:rPr>
        <w:t>附件2</w:t>
      </w:r>
    </w:p>
    <w:p>
      <w:pPr>
        <w:adjustRightInd w:val="0"/>
        <w:snapToGrid w:val="0"/>
        <w:spacing w:line="560" w:lineRule="exact"/>
        <w:jc w:val="center"/>
        <w:rPr>
          <w:rFonts w:ascii="方正小标宋简体" w:eastAsia="方正小标宋简体"/>
          <w:sz w:val="44"/>
          <w:szCs w:val="44"/>
        </w:rPr>
      </w:pPr>
      <w:r>
        <w:rPr>
          <w:rFonts w:hint="eastAsia" w:ascii="方正小标宋简体" w:eastAsia="方正小标宋简体"/>
          <w:sz w:val="44"/>
          <w:szCs w:val="44"/>
        </w:rPr>
        <w:t>崇明区农业农村财政性资产移交清单</w:t>
      </w:r>
    </w:p>
    <w:p>
      <w:pPr>
        <w:adjustRightInd w:val="0"/>
        <w:snapToGrid w:val="0"/>
        <w:spacing w:line="560" w:lineRule="exact"/>
        <w:jc w:val="center"/>
        <w:rPr>
          <w:rFonts w:ascii="方正小标宋简体" w:eastAsia="方正小标宋简体"/>
          <w:sz w:val="44"/>
          <w:szCs w:val="44"/>
        </w:rPr>
      </w:pPr>
      <w:r>
        <w:rPr>
          <w:rFonts w:hint="eastAsia" w:ascii="仿宋_GB2312" w:eastAsia="仿宋_GB2312"/>
          <w:sz w:val="32"/>
          <w:szCs w:val="32"/>
        </w:rPr>
        <w:t>（样表）</w:t>
      </w:r>
    </w:p>
    <w:tbl>
      <w:tblPr>
        <w:tblStyle w:val="7"/>
        <w:tblW w:w="87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8"/>
        <w:gridCol w:w="1236"/>
        <w:gridCol w:w="1068"/>
        <w:gridCol w:w="1128"/>
        <w:gridCol w:w="1236"/>
        <w:gridCol w:w="1200"/>
        <w:gridCol w:w="1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8" w:hRule="atLeast"/>
          <w:jc w:val="center"/>
        </w:trPr>
        <w:tc>
          <w:tcPr>
            <w:tcW w:w="1688" w:type="dxa"/>
            <w:vAlign w:val="center"/>
          </w:tcPr>
          <w:p>
            <w:pPr>
              <w:jc w:val="center"/>
              <w:rPr>
                <w:rFonts w:ascii="黑体" w:hAnsi="黑体" w:eastAsia="黑体" w:cs="黑体"/>
                <w:sz w:val="24"/>
              </w:rPr>
            </w:pPr>
            <w:r>
              <w:rPr>
                <w:rFonts w:hint="eastAsia" w:ascii="黑体" w:hAnsi="黑体" w:eastAsia="黑体" w:cs="黑体"/>
                <w:sz w:val="24"/>
              </w:rPr>
              <w:t>项目名称</w:t>
            </w:r>
          </w:p>
        </w:tc>
        <w:tc>
          <w:tcPr>
            <w:tcW w:w="7092" w:type="dxa"/>
            <w:gridSpan w:val="6"/>
            <w:vAlign w:val="center"/>
          </w:tcPr>
          <w:p>
            <w:pPr>
              <w:jc w:val="center"/>
              <w:rPr>
                <w:rFonts w:ascii="黑体" w:hAnsi="黑体" w:eastAsia="黑体" w:cs="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8780" w:type="dxa"/>
            <w:gridSpan w:val="7"/>
            <w:vAlign w:val="center"/>
          </w:tcPr>
          <w:p>
            <w:pPr>
              <w:jc w:val="center"/>
              <w:rPr>
                <w:rFonts w:ascii="黑体" w:hAnsi="黑体" w:eastAsia="黑体" w:cs="黑体"/>
                <w:sz w:val="24"/>
              </w:rPr>
            </w:pPr>
            <w:r>
              <w:rPr>
                <w:rFonts w:hint="eastAsia" w:ascii="黑体" w:hAnsi="黑体" w:eastAsia="黑体" w:cs="黑体"/>
                <w:sz w:val="24"/>
              </w:rPr>
              <w:t>投资情况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jc w:val="center"/>
        </w:trPr>
        <w:tc>
          <w:tcPr>
            <w:tcW w:w="1688" w:type="dxa"/>
            <w:vAlign w:val="center"/>
          </w:tcPr>
          <w:p>
            <w:pPr>
              <w:rPr>
                <w:rFonts w:ascii="黑体" w:hAnsi="黑体" w:eastAsia="黑体" w:cs="黑体"/>
                <w:sz w:val="24"/>
              </w:rPr>
            </w:pPr>
            <w:r>
              <w:rPr>
                <w:rFonts w:hint="eastAsia" w:ascii="黑体" w:hAnsi="黑体" w:eastAsia="黑体" w:cs="黑体"/>
                <w:sz w:val="24"/>
              </w:rPr>
              <w:t>投资总额（元）</w:t>
            </w:r>
          </w:p>
        </w:tc>
        <w:tc>
          <w:tcPr>
            <w:tcW w:w="1236" w:type="dxa"/>
            <w:vAlign w:val="center"/>
          </w:tcPr>
          <w:p>
            <w:pPr>
              <w:jc w:val="center"/>
              <w:rPr>
                <w:rFonts w:ascii="黑体" w:hAnsi="黑体" w:eastAsia="黑体" w:cs="黑体"/>
                <w:sz w:val="24"/>
              </w:rPr>
            </w:pPr>
            <w:r>
              <w:rPr>
                <w:rFonts w:hint="eastAsia" w:ascii="黑体" w:hAnsi="黑体" w:eastAsia="黑体" w:cs="黑体"/>
                <w:sz w:val="24"/>
              </w:rPr>
              <w:t>中央财政</w:t>
            </w:r>
          </w:p>
        </w:tc>
        <w:tc>
          <w:tcPr>
            <w:tcW w:w="1068" w:type="dxa"/>
            <w:vAlign w:val="center"/>
          </w:tcPr>
          <w:p>
            <w:pPr>
              <w:jc w:val="center"/>
              <w:rPr>
                <w:rFonts w:ascii="黑体" w:hAnsi="黑体" w:eastAsia="黑体" w:cs="黑体"/>
                <w:sz w:val="24"/>
              </w:rPr>
            </w:pPr>
            <w:r>
              <w:rPr>
                <w:rFonts w:hint="eastAsia" w:ascii="黑体" w:hAnsi="黑体" w:eastAsia="黑体" w:cs="黑体"/>
                <w:sz w:val="24"/>
              </w:rPr>
              <w:t>市财政</w:t>
            </w:r>
          </w:p>
        </w:tc>
        <w:tc>
          <w:tcPr>
            <w:tcW w:w="1128" w:type="dxa"/>
            <w:vAlign w:val="center"/>
          </w:tcPr>
          <w:p>
            <w:pPr>
              <w:jc w:val="center"/>
              <w:rPr>
                <w:rFonts w:ascii="黑体" w:hAnsi="黑体" w:eastAsia="黑体" w:cs="黑体"/>
                <w:sz w:val="24"/>
              </w:rPr>
            </w:pPr>
            <w:r>
              <w:rPr>
                <w:rFonts w:hint="eastAsia" w:ascii="黑体" w:hAnsi="黑体" w:eastAsia="黑体" w:cs="黑体"/>
                <w:sz w:val="24"/>
              </w:rPr>
              <w:t>区财政</w:t>
            </w:r>
          </w:p>
        </w:tc>
        <w:tc>
          <w:tcPr>
            <w:tcW w:w="1236" w:type="dxa"/>
            <w:vAlign w:val="center"/>
          </w:tcPr>
          <w:p>
            <w:pPr>
              <w:jc w:val="center"/>
              <w:rPr>
                <w:rFonts w:ascii="黑体" w:hAnsi="黑体" w:eastAsia="黑体" w:cs="黑体"/>
                <w:sz w:val="24"/>
              </w:rPr>
            </w:pPr>
            <w:r>
              <w:rPr>
                <w:rFonts w:hint="eastAsia" w:ascii="黑体" w:hAnsi="黑体" w:eastAsia="黑体" w:cs="黑体"/>
                <w:sz w:val="24"/>
              </w:rPr>
              <w:t>乡镇财政</w:t>
            </w:r>
          </w:p>
        </w:tc>
        <w:tc>
          <w:tcPr>
            <w:tcW w:w="1200" w:type="dxa"/>
            <w:vAlign w:val="center"/>
          </w:tcPr>
          <w:p>
            <w:pPr>
              <w:jc w:val="center"/>
              <w:rPr>
                <w:rFonts w:ascii="黑体" w:hAnsi="黑体" w:eastAsia="黑体" w:cs="黑体"/>
                <w:sz w:val="24"/>
              </w:rPr>
            </w:pPr>
            <w:r>
              <w:rPr>
                <w:rFonts w:hint="eastAsia" w:ascii="黑体" w:hAnsi="黑体" w:eastAsia="黑体" w:cs="黑体"/>
                <w:sz w:val="24"/>
              </w:rPr>
              <w:t>乡镇集体</w:t>
            </w:r>
          </w:p>
        </w:tc>
        <w:tc>
          <w:tcPr>
            <w:tcW w:w="1224" w:type="dxa"/>
            <w:vAlign w:val="center"/>
          </w:tcPr>
          <w:p>
            <w:pPr>
              <w:jc w:val="center"/>
              <w:rPr>
                <w:rFonts w:ascii="黑体" w:hAnsi="黑体" w:eastAsia="黑体" w:cs="黑体"/>
                <w:sz w:val="24"/>
              </w:rPr>
            </w:pPr>
            <w:r>
              <w:rPr>
                <w:rFonts w:hint="eastAsia" w:ascii="黑体" w:hAnsi="黑体" w:eastAsia="黑体" w:cs="黑体"/>
                <w:sz w:val="24"/>
              </w:rPr>
              <w:t>自筹部分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8" w:hRule="atLeast"/>
          <w:jc w:val="center"/>
        </w:trPr>
        <w:tc>
          <w:tcPr>
            <w:tcW w:w="1688" w:type="dxa"/>
            <w:vAlign w:val="center"/>
          </w:tcPr>
          <w:p>
            <w:pPr>
              <w:rPr>
                <w:rFonts w:ascii="黑体" w:hAnsi="黑体" w:eastAsia="黑体" w:cs="黑体"/>
                <w:sz w:val="24"/>
              </w:rPr>
            </w:pPr>
          </w:p>
        </w:tc>
        <w:tc>
          <w:tcPr>
            <w:tcW w:w="1236" w:type="dxa"/>
            <w:vAlign w:val="center"/>
          </w:tcPr>
          <w:p>
            <w:pPr>
              <w:rPr>
                <w:rFonts w:ascii="黑体" w:hAnsi="黑体" w:eastAsia="黑体" w:cs="黑体"/>
                <w:sz w:val="24"/>
              </w:rPr>
            </w:pPr>
          </w:p>
        </w:tc>
        <w:tc>
          <w:tcPr>
            <w:tcW w:w="1068" w:type="dxa"/>
            <w:vAlign w:val="center"/>
          </w:tcPr>
          <w:p>
            <w:pPr>
              <w:rPr>
                <w:rFonts w:ascii="黑体" w:hAnsi="黑体" w:eastAsia="黑体" w:cs="黑体"/>
                <w:sz w:val="24"/>
              </w:rPr>
            </w:pPr>
          </w:p>
        </w:tc>
        <w:tc>
          <w:tcPr>
            <w:tcW w:w="1128" w:type="dxa"/>
            <w:vAlign w:val="center"/>
          </w:tcPr>
          <w:p>
            <w:pPr>
              <w:rPr>
                <w:rFonts w:ascii="黑体" w:hAnsi="黑体" w:eastAsia="黑体" w:cs="黑体"/>
                <w:sz w:val="24"/>
              </w:rPr>
            </w:pPr>
          </w:p>
        </w:tc>
        <w:tc>
          <w:tcPr>
            <w:tcW w:w="1236" w:type="dxa"/>
            <w:vAlign w:val="center"/>
          </w:tcPr>
          <w:p>
            <w:pPr>
              <w:rPr>
                <w:rFonts w:ascii="黑体" w:hAnsi="黑体" w:eastAsia="黑体" w:cs="黑体"/>
                <w:sz w:val="24"/>
              </w:rPr>
            </w:pPr>
          </w:p>
        </w:tc>
        <w:tc>
          <w:tcPr>
            <w:tcW w:w="1200" w:type="dxa"/>
            <w:vAlign w:val="center"/>
          </w:tcPr>
          <w:p>
            <w:pPr>
              <w:rPr>
                <w:rFonts w:ascii="黑体" w:hAnsi="黑体" w:eastAsia="黑体" w:cs="黑体"/>
                <w:sz w:val="24"/>
              </w:rPr>
            </w:pPr>
          </w:p>
        </w:tc>
        <w:tc>
          <w:tcPr>
            <w:tcW w:w="1224" w:type="dxa"/>
            <w:vAlign w:val="center"/>
          </w:tcPr>
          <w:p>
            <w:pPr>
              <w:rPr>
                <w:rFonts w:ascii="黑体" w:hAnsi="黑体" w:eastAsia="黑体" w:cs="黑体"/>
                <w:sz w:val="24"/>
              </w:rPr>
            </w:pPr>
          </w:p>
        </w:tc>
      </w:tr>
    </w:tbl>
    <w:p>
      <w:pPr>
        <w:spacing w:line="560" w:lineRule="exact"/>
        <w:rPr>
          <w:rFonts w:ascii="仿宋_GB2312" w:eastAsia="仿宋_GB2312"/>
          <w:sz w:val="32"/>
          <w:szCs w:val="32"/>
        </w:rPr>
      </w:pPr>
      <w:r>
        <w:rPr>
          <w:rFonts w:hint="eastAsia" w:ascii="仿宋_GB2312" w:eastAsia="仿宋_GB2312"/>
          <w:sz w:val="32"/>
          <w:szCs w:val="32"/>
        </w:rPr>
        <w:t>移交文件资料如下：</w:t>
      </w: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ind w:right="561" w:firstLine="640" w:firstLineChars="200"/>
        <w:rPr>
          <w:rFonts w:ascii="仿宋_GB2312" w:eastAsia="仿宋_GB2312"/>
          <w:sz w:val="32"/>
          <w:szCs w:val="32"/>
        </w:rPr>
      </w:pPr>
      <w:r>
        <w:rPr>
          <w:rFonts w:hint="eastAsia" w:ascii="仿宋_GB2312" w:eastAsia="仿宋_GB2312"/>
          <w:sz w:val="32"/>
          <w:szCs w:val="32"/>
        </w:rPr>
        <w:t>以上资产于202</w:t>
      </w:r>
      <w:r>
        <w:rPr>
          <w:rFonts w:hint="eastAsia" w:ascii="仿宋_GB2312" w:eastAsia="仿宋_GB2312"/>
          <w:sz w:val="32"/>
          <w:szCs w:val="32"/>
          <w:u w:val="single"/>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rPr>
        <w:t>日通过市、区两级组织的验收。按照《崇明区农业农村财政性资产管理办法》规定，现将该资产由</w:t>
      </w:r>
      <w:r>
        <w:rPr>
          <w:rFonts w:hint="eastAsia" w:ascii="仿宋_GB2312" w:eastAsia="仿宋_GB2312"/>
          <w:sz w:val="32"/>
          <w:szCs w:val="32"/>
          <w:u w:val="single"/>
        </w:rPr>
        <w:t xml:space="preserve">               </w:t>
      </w:r>
      <w:r>
        <w:rPr>
          <w:rFonts w:hint="eastAsia" w:ascii="仿宋_GB2312" w:eastAsia="仿宋_GB2312"/>
          <w:sz w:val="32"/>
          <w:szCs w:val="32"/>
        </w:rPr>
        <w:t>移交至</w:t>
      </w:r>
      <w:r>
        <w:rPr>
          <w:rFonts w:hint="eastAsia" w:ascii="仿宋_GB2312" w:eastAsia="仿宋_GB2312"/>
          <w:sz w:val="32"/>
          <w:szCs w:val="32"/>
          <w:u w:val="single"/>
        </w:rPr>
        <w:t xml:space="preserve">             </w:t>
      </w:r>
      <w:r>
        <w:rPr>
          <w:rFonts w:hint="eastAsia" w:ascii="仿宋_GB2312" w:eastAsia="仿宋_GB2312"/>
          <w:sz w:val="32"/>
          <w:szCs w:val="32"/>
          <w:lang w:eastAsia="zh-CN"/>
        </w:rPr>
        <w:t>（乡镇）</w:t>
      </w:r>
      <w:r>
        <w:rPr>
          <w:rFonts w:hint="eastAsia" w:ascii="仿宋_GB2312" w:eastAsia="仿宋_GB2312"/>
          <w:sz w:val="32"/>
          <w:szCs w:val="32"/>
        </w:rPr>
        <w:t>。</w:t>
      </w:r>
    </w:p>
    <w:p>
      <w:pPr>
        <w:spacing w:line="560" w:lineRule="exact"/>
        <w:ind w:right="561" w:firstLine="640" w:firstLineChars="200"/>
        <w:rPr>
          <w:rFonts w:ascii="仿宋_GB2312" w:eastAsia="仿宋_GB2312"/>
          <w:sz w:val="32"/>
          <w:szCs w:val="32"/>
        </w:rPr>
      </w:pPr>
      <w:r>
        <w:rPr>
          <w:rFonts w:hint="eastAsia" w:ascii="仿宋_GB2312" w:eastAsia="仿宋_GB2312"/>
          <w:sz w:val="32"/>
          <w:szCs w:val="32"/>
        </w:rPr>
        <w:t>移交方（章）：                     负责人：</w:t>
      </w:r>
    </w:p>
    <w:p>
      <w:pPr>
        <w:spacing w:line="560" w:lineRule="exact"/>
        <w:ind w:right="561" w:firstLine="640" w:firstLineChars="200"/>
        <w:rPr>
          <w:rFonts w:ascii="仿宋_GB2312" w:eastAsia="仿宋_GB2312"/>
          <w:sz w:val="32"/>
          <w:szCs w:val="32"/>
        </w:rPr>
      </w:pPr>
    </w:p>
    <w:p>
      <w:pPr>
        <w:spacing w:line="560" w:lineRule="exact"/>
        <w:ind w:right="561" w:firstLine="640" w:firstLineChars="200"/>
        <w:rPr>
          <w:rFonts w:ascii="仿宋_GB2312" w:eastAsia="仿宋_GB2312"/>
          <w:sz w:val="32"/>
          <w:szCs w:val="32"/>
        </w:rPr>
      </w:pPr>
      <w:r>
        <w:rPr>
          <w:rFonts w:hint="eastAsia" w:ascii="仿宋_GB2312" w:eastAsia="仿宋_GB2312"/>
          <w:sz w:val="32"/>
          <w:szCs w:val="32"/>
        </w:rPr>
        <w:t>接收方（章）：                     负责人：</w:t>
      </w:r>
    </w:p>
    <w:p>
      <w:pPr>
        <w:spacing w:line="560" w:lineRule="exact"/>
        <w:ind w:right="561" w:firstLine="640" w:firstLineChars="200"/>
        <w:rPr>
          <w:rFonts w:ascii="仿宋_GB2312" w:eastAsia="仿宋_GB2312"/>
          <w:sz w:val="32"/>
          <w:szCs w:val="32"/>
        </w:rPr>
      </w:pPr>
    </w:p>
    <w:p>
      <w:pPr>
        <w:spacing w:line="560" w:lineRule="exact"/>
        <w:ind w:right="561" w:firstLine="640" w:firstLineChars="200"/>
        <w:rPr>
          <w:rFonts w:ascii="仿宋_GB2312" w:eastAsia="仿宋_GB2312"/>
          <w:sz w:val="32"/>
          <w:szCs w:val="32"/>
        </w:rPr>
      </w:pPr>
      <w:r>
        <w:rPr>
          <w:rFonts w:hint="eastAsia" w:ascii="仿宋_GB2312" w:eastAsia="仿宋_GB2312"/>
          <w:sz w:val="32"/>
          <w:szCs w:val="32"/>
        </w:rPr>
        <w:t>监交单位（章）：                   负责人：</w:t>
      </w:r>
    </w:p>
    <w:p>
      <w:pPr>
        <w:spacing w:line="560" w:lineRule="exact"/>
        <w:ind w:right="561" w:firstLine="640" w:firstLineChars="200"/>
        <w:rPr>
          <w:rFonts w:ascii="仿宋_GB2312" w:eastAsia="仿宋_GB2312"/>
          <w:sz w:val="32"/>
          <w:szCs w:val="32"/>
        </w:rPr>
      </w:pPr>
      <w:r>
        <w:rPr>
          <w:rFonts w:hint="eastAsia" w:ascii="仿宋_GB2312" w:eastAsia="仿宋_GB2312"/>
          <w:sz w:val="32"/>
          <w:szCs w:val="32"/>
        </w:rPr>
        <w:t>移交时间：                        年  月   日</w:t>
      </w:r>
    </w:p>
    <w:p>
      <w:pPr>
        <w:spacing w:line="560" w:lineRule="exact"/>
        <w:ind w:right="561" w:firstLine="560" w:firstLineChars="200"/>
        <w:rPr>
          <w:rFonts w:hint="eastAsia" w:ascii="楷体_GB2312" w:hAnsi="楷体_GB2312" w:eastAsia="楷体_GB2312" w:cs="楷体_GB2312"/>
          <w:sz w:val="28"/>
          <w:szCs w:val="28"/>
          <w:lang w:eastAsia="zh-CN"/>
        </w:rPr>
      </w:pPr>
    </w:p>
    <w:p>
      <w:pPr>
        <w:spacing w:line="560" w:lineRule="exact"/>
        <w:ind w:right="561" w:firstLine="560" w:firstLineChars="200"/>
        <w:jc w:val="right"/>
        <w:rPr>
          <w:rFonts w:hint="eastAsia" w:ascii="仿宋_GB2312" w:eastAsia="仿宋_GB2312"/>
          <w:sz w:val="32"/>
          <w:szCs w:val="32"/>
          <w:highlight w:val="none"/>
          <w:lang w:eastAsia="zh-CN"/>
        </w:rPr>
      </w:pPr>
      <w:r>
        <w:rPr>
          <w:rFonts w:hint="eastAsia" w:ascii="楷体_GB2312" w:hAnsi="楷体_GB2312" w:eastAsia="楷体_GB2312" w:cs="楷体_GB2312"/>
          <w:sz w:val="28"/>
          <w:szCs w:val="28"/>
          <w:highlight w:val="none"/>
          <w:lang w:eastAsia="zh-CN"/>
        </w:rPr>
        <w:t>（本移交清单一式三份，移交方、接收方、监交单位各执一份）</w:t>
      </w:r>
    </w:p>
    <w:p>
      <w:pPr>
        <w:adjustRightInd w:val="0"/>
        <w:snapToGrid w:val="0"/>
        <w:spacing w:line="560" w:lineRule="exact"/>
        <w:jc w:val="right"/>
        <w:rPr>
          <w:rFonts w:hint="eastAsia" w:ascii="黑体" w:hAnsi="黑体" w:eastAsia="黑体" w:cs="黑体"/>
          <w:sz w:val="32"/>
          <w:szCs w:val="32"/>
          <w:highlight w:val="none"/>
        </w:rPr>
        <w:sectPr>
          <w:pgSz w:w="11906" w:h="16838"/>
          <w:pgMar w:top="2098" w:right="1474" w:bottom="1985" w:left="1588" w:header="851" w:footer="1247" w:gutter="0"/>
          <w:pgNumType w:fmt="numberInDash"/>
          <w:cols w:space="425" w:num="1"/>
          <w:docGrid w:type="lines" w:linePitch="312" w:charSpace="0"/>
        </w:sectPr>
      </w:pPr>
    </w:p>
    <w:p>
      <w:pPr>
        <w:adjustRightInd w:val="0"/>
        <w:snapToGrid w:val="0"/>
        <w:spacing w:line="560" w:lineRule="exact"/>
        <w:jc w:val="left"/>
        <w:rPr>
          <w:rFonts w:ascii="黑体" w:hAnsi="黑体" w:eastAsia="黑体" w:cs="黑体"/>
          <w:sz w:val="32"/>
          <w:szCs w:val="32"/>
        </w:rPr>
      </w:pPr>
      <w:r>
        <w:rPr>
          <w:rFonts w:hint="eastAsia" w:ascii="黑体" w:hAnsi="黑体" w:eastAsia="黑体" w:cs="黑体"/>
          <w:sz w:val="32"/>
          <w:szCs w:val="32"/>
        </w:rPr>
        <w:t>附件3</w:t>
      </w:r>
    </w:p>
    <w:p>
      <w:pPr>
        <w:adjustRightInd w:val="0"/>
        <w:snapToGrid w:val="0"/>
        <w:spacing w:line="560" w:lineRule="exact"/>
        <w:jc w:val="center"/>
        <w:rPr>
          <w:rFonts w:ascii="方正小标宋简体" w:eastAsia="方正小标宋简体"/>
          <w:sz w:val="44"/>
          <w:szCs w:val="44"/>
        </w:rPr>
      </w:pPr>
      <w:r>
        <w:rPr>
          <w:rFonts w:hint="eastAsia" w:ascii="方正小标宋简体" w:eastAsia="方正小标宋简体"/>
          <w:sz w:val="44"/>
          <w:szCs w:val="44"/>
        </w:rPr>
        <w:t>崇明区农业农村财政性资产使用和管护协议</w:t>
      </w:r>
    </w:p>
    <w:p>
      <w:pPr>
        <w:adjustRightInd w:val="0"/>
        <w:snapToGrid w:val="0"/>
        <w:spacing w:line="560" w:lineRule="exact"/>
        <w:jc w:val="center"/>
        <w:rPr>
          <w:rFonts w:ascii="方正小标宋简体" w:eastAsia="方正小标宋简体"/>
          <w:sz w:val="44"/>
          <w:szCs w:val="44"/>
        </w:rPr>
      </w:pPr>
      <w:r>
        <w:rPr>
          <w:rFonts w:hint="eastAsia" w:ascii="仿宋_GB2312" w:eastAsia="仿宋_GB2312"/>
          <w:sz w:val="32"/>
          <w:szCs w:val="32"/>
        </w:rPr>
        <w:t>（样张）</w:t>
      </w:r>
    </w:p>
    <w:p>
      <w:pPr>
        <w:adjustRightInd w:val="0"/>
        <w:snapToGrid w:val="0"/>
        <w:spacing w:beforeLines="50" w:line="560" w:lineRule="exact"/>
        <w:jc w:val="right"/>
        <w:rPr>
          <w:rFonts w:ascii="黑体" w:hAnsi="黑体" w:eastAsia="黑体" w:cs="黑体"/>
          <w:sz w:val="30"/>
          <w:szCs w:val="30"/>
        </w:rPr>
      </w:pPr>
      <w:r>
        <w:rPr>
          <w:rFonts w:hint="eastAsia" w:ascii="黑体" w:hAnsi="黑体" w:eastAsia="黑体" w:cs="黑体"/>
          <w:sz w:val="30"/>
          <w:szCs w:val="30"/>
        </w:rPr>
        <w:t>　          编号：</w:t>
      </w:r>
      <w:r>
        <w:rPr>
          <w:rFonts w:hint="eastAsia" w:ascii="黑体" w:hAnsi="黑体" w:eastAsia="黑体" w:cs="黑体"/>
          <w:sz w:val="30"/>
          <w:szCs w:val="30"/>
          <w:u w:val="single"/>
        </w:rPr>
        <w:t xml:space="preserve">         </w:t>
      </w:r>
      <w:r>
        <w:rPr>
          <w:rFonts w:hint="eastAsia" w:ascii="黑体" w:hAnsi="黑体" w:eastAsia="黑体" w:cs="黑体"/>
          <w:sz w:val="30"/>
          <w:szCs w:val="30"/>
        </w:rPr>
        <w:t>年</w:t>
      </w:r>
      <w:r>
        <w:rPr>
          <w:rFonts w:hint="eastAsia" w:ascii="黑体" w:hAnsi="黑体" w:eastAsia="黑体" w:cs="黑体"/>
          <w:sz w:val="30"/>
          <w:szCs w:val="30"/>
          <w:u w:val="single"/>
        </w:rPr>
        <w:t xml:space="preserve">     </w:t>
      </w:r>
      <w:r>
        <w:rPr>
          <w:rFonts w:hint="eastAsia" w:ascii="黑体" w:hAnsi="黑体" w:eastAsia="黑体" w:cs="黑体"/>
          <w:sz w:val="30"/>
          <w:szCs w:val="30"/>
        </w:rPr>
        <w:t>字第</w:t>
      </w:r>
      <w:r>
        <w:rPr>
          <w:rFonts w:hint="eastAsia" w:ascii="黑体" w:hAnsi="黑体" w:eastAsia="黑体" w:cs="黑体"/>
          <w:sz w:val="30"/>
          <w:szCs w:val="30"/>
          <w:u w:val="single"/>
        </w:rPr>
        <w:t xml:space="preserve">     </w:t>
      </w:r>
      <w:r>
        <w:rPr>
          <w:rFonts w:hint="eastAsia" w:ascii="黑体" w:hAnsi="黑体" w:eastAsia="黑体" w:cs="黑体"/>
          <w:sz w:val="30"/>
          <w:szCs w:val="30"/>
        </w:rPr>
        <w:t>号</w:t>
      </w:r>
    </w:p>
    <w:p>
      <w:pPr>
        <w:adjustRightInd w:val="0"/>
        <w:snapToGrid w:val="0"/>
        <w:spacing w:beforeLines="100" w:line="560" w:lineRule="exact"/>
        <w:rPr>
          <w:rFonts w:ascii="黑体" w:hAnsi="黑体" w:eastAsia="黑体" w:cs="黑体"/>
          <w:sz w:val="30"/>
          <w:szCs w:val="30"/>
        </w:rPr>
      </w:pPr>
      <w:r>
        <w:rPr>
          <w:rFonts w:hint="eastAsia" w:ascii="黑体" w:hAnsi="黑体" w:eastAsia="黑体" w:cs="黑体"/>
          <w:sz w:val="30"/>
          <w:szCs w:val="30"/>
        </w:rPr>
        <w:t>　  甲方(资产委托方)：</w:t>
      </w:r>
      <w:r>
        <w:rPr>
          <w:rFonts w:hint="eastAsia" w:ascii="黑体" w:hAnsi="黑体" w:eastAsia="黑体" w:cs="黑体"/>
          <w:sz w:val="30"/>
          <w:szCs w:val="30"/>
          <w:u w:val="single"/>
        </w:rPr>
        <w:t xml:space="preserve">                            </w:t>
      </w:r>
      <w:r>
        <w:rPr>
          <w:rFonts w:hint="eastAsia" w:ascii="黑体" w:hAnsi="黑体" w:eastAsia="黑体" w:cs="黑体"/>
          <w:sz w:val="30"/>
          <w:szCs w:val="30"/>
        </w:rPr>
        <w:t xml:space="preserve">       </w:t>
      </w:r>
    </w:p>
    <w:p>
      <w:pPr>
        <w:adjustRightInd w:val="0"/>
        <w:snapToGrid w:val="0"/>
        <w:spacing w:line="560" w:lineRule="exact"/>
        <w:ind w:firstLine="600"/>
        <w:rPr>
          <w:rFonts w:ascii="黑体" w:hAnsi="黑体" w:eastAsia="黑体" w:cs="黑体"/>
          <w:sz w:val="30"/>
          <w:szCs w:val="30"/>
          <w:u w:val="single"/>
        </w:rPr>
      </w:pPr>
      <w:r>
        <w:rPr>
          <w:rFonts w:hint="eastAsia" w:ascii="黑体" w:hAnsi="黑体" w:eastAsia="黑体" w:cs="黑体"/>
          <w:sz w:val="30"/>
          <w:szCs w:val="30"/>
        </w:rPr>
        <w:t>住所：</w:t>
      </w:r>
      <w:r>
        <w:rPr>
          <w:rFonts w:hint="eastAsia" w:ascii="黑体" w:hAnsi="黑体" w:eastAsia="黑体" w:cs="黑体"/>
          <w:sz w:val="30"/>
          <w:szCs w:val="30"/>
          <w:u w:val="single"/>
        </w:rPr>
        <w:t xml:space="preserve">                                   </w:t>
      </w:r>
      <w:r>
        <w:rPr>
          <w:rFonts w:hint="eastAsia" w:ascii="黑体" w:hAnsi="黑体" w:eastAsia="黑体" w:cs="黑体"/>
          <w:sz w:val="30"/>
          <w:szCs w:val="30"/>
        </w:rPr>
        <w:t>邮编：</w:t>
      </w:r>
      <w:r>
        <w:rPr>
          <w:rFonts w:hint="eastAsia" w:ascii="黑体" w:hAnsi="黑体" w:eastAsia="黑体" w:cs="黑体"/>
          <w:sz w:val="30"/>
          <w:szCs w:val="30"/>
          <w:u w:val="single"/>
        </w:rPr>
        <w:t xml:space="preserve">         </w:t>
      </w:r>
    </w:p>
    <w:p>
      <w:pPr>
        <w:adjustRightInd w:val="0"/>
        <w:snapToGrid w:val="0"/>
        <w:spacing w:line="560" w:lineRule="exact"/>
        <w:ind w:firstLine="560"/>
        <w:rPr>
          <w:rFonts w:ascii="黑体" w:hAnsi="黑体" w:eastAsia="黑体" w:cs="黑体"/>
          <w:sz w:val="30"/>
          <w:szCs w:val="30"/>
        </w:rPr>
      </w:pPr>
      <w:r>
        <w:rPr>
          <w:rFonts w:hint="eastAsia" w:ascii="黑体" w:hAnsi="黑体" w:eastAsia="黑体" w:cs="黑体"/>
          <w:sz w:val="30"/>
          <w:szCs w:val="30"/>
        </w:rPr>
        <w:t>法定代表人：</w:t>
      </w:r>
      <w:r>
        <w:rPr>
          <w:rFonts w:hint="eastAsia" w:ascii="黑体" w:hAnsi="黑体" w:eastAsia="黑体" w:cs="黑体"/>
          <w:sz w:val="30"/>
          <w:szCs w:val="30"/>
          <w:u w:val="single"/>
        </w:rPr>
        <w:t xml:space="preserve">                    </w:t>
      </w:r>
    </w:p>
    <w:p>
      <w:pPr>
        <w:adjustRightInd w:val="0"/>
        <w:snapToGrid w:val="0"/>
        <w:spacing w:line="560" w:lineRule="exact"/>
        <w:rPr>
          <w:rFonts w:hint="eastAsia" w:ascii="黑体" w:hAnsi="黑体" w:eastAsia="黑体" w:cs="黑体"/>
          <w:sz w:val="30"/>
          <w:szCs w:val="30"/>
        </w:rPr>
      </w:pPr>
      <w:r>
        <w:rPr>
          <w:rFonts w:hint="eastAsia" w:ascii="黑体" w:hAnsi="黑体" w:eastAsia="黑体" w:cs="黑体"/>
          <w:sz w:val="30"/>
          <w:szCs w:val="30"/>
        </w:rPr>
        <w:t>　　</w:t>
      </w:r>
    </w:p>
    <w:p>
      <w:pPr>
        <w:adjustRightInd w:val="0"/>
        <w:snapToGrid w:val="0"/>
        <w:spacing w:line="560" w:lineRule="exact"/>
        <w:ind w:firstLine="600" w:firstLineChars="200"/>
        <w:rPr>
          <w:rFonts w:ascii="黑体" w:hAnsi="黑体" w:eastAsia="黑体" w:cs="黑体"/>
          <w:sz w:val="30"/>
          <w:szCs w:val="30"/>
        </w:rPr>
      </w:pPr>
      <w:r>
        <w:rPr>
          <w:rFonts w:hint="eastAsia" w:ascii="黑体" w:hAnsi="黑体" w:eastAsia="黑体" w:cs="黑体"/>
          <w:sz w:val="30"/>
          <w:szCs w:val="30"/>
        </w:rPr>
        <w:t>乙方(资产受托方)：</w:t>
      </w:r>
      <w:r>
        <w:rPr>
          <w:rFonts w:hint="eastAsia" w:ascii="黑体" w:hAnsi="黑体" w:eastAsia="黑体" w:cs="黑体"/>
          <w:sz w:val="30"/>
          <w:szCs w:val="30"/>
          <w:u w:val="single"/>
        </w:rPr>
        <w:t xml:space="preserve">                           </w:t>
      </w:r>
    </w:p>
    <w:p>
      <w:pPr>
        <w:adjustRightInd w:val="0"/>
        <w:snapToGrid w:val="0"/>
        <w:spacing w:line="560" w:lineRule="exact"/>
        <w:ind w:firstLine="600"/>
        <w:rPr>
          <w:rFonts w:ascii="黑体" w:hAnsi="黑体" w:eastAsia="黑体" w:cs="黑体"/>
          <w:sz w:val="30"/>
          <w:szCs w:val="30"/>
          <w:u w:val="single"/>
        </w:rPr>
      </w:pPr>
      <w:r>
        <w:rPr>
          <w:rFonts w:hint="eastAsia" w:ascii="黑体" w:hAnsi="黑体" w:eastAsia="黑体" w:cs="黑体"/>
          <w:sz w:val="30"/>
          <w:szCs w:val="30"/>
        </w:rPr>
        <w:t>住所：</w:t>
      </w:r>
      <w:r>
        <w:rPr>
          <w:rFonts w:hint="eastAsia" w:ascii="黑体" w:hAnsi="黑体" w:eastAsia="黑体" w:cs="黑体"/>
          <w:sz w:val="30"/>
          <w:szCs w:val="30"/>
          <w:u w:val="single"/>
        </w:rPr>
        <w:t xml:space="preserve">                                   </w:t>
      </w:r>
      <w:r>
        <w:rPr>
          <w:rFonts w:hint="eastAsia" w:ascii="黑体" w:hAnsi="黑体" w:eastAsia="黑体" w:cs="黑体"/>
          <w:sz w:val="30"/>
          <w:szCs w:val="30"/>
        </w:rPr>
        <w:t>邮编：</w:t>
      </w:r>
      <w:r>
        <w:rPr>
          <w:rFonts w:hint="eastAsia" w:ascii="黑体" w:hAnsi="黑体" w:eastAsia="黑体" w:cs="黑体"/>
          <w:sz w:val="30"/>
          <w:szCs w:val="30"/>
          <w:u w:val="single"/>
        </w:rPr>
        <w:t xml:space="preserve">         </w:t>
      </w:r>
    </w:p>
    <w:p>
      <w:pPr>
        <w:adjustRightInd w:val="0"/>
        <w:snapToGrid w:val="0"/>
        <w:spacing w:line="560" w:lineRule="exact"/>
        <w:ind w:firstLine="560"/>
        <w:rPr>
          <w:rFonts w:ascii="黑体" w:hAnsi="黑体" w:eastAsia="黑体" w:cs="黑体"/>
          <w:sz w:val="30"/>
          <w:szCs w:val="30"/>
        </w:rPr>
      </w:pPr>
      <w:r>
        <w:rPr>
          <w:rFonts w:hint="eastAsia" w:ascii="黑体" w:hAnsi="黑体" w:eastAsia="黑体" w:cs="黑体"/>
          <w:sz w:val="30"/>
          <w:szCs w:val="30"/>
        </w:rPr>
        <w:t>法定代表人：</w:t>
      </w:r>
      <w:r>
        <w:rPr>
          <w:rFonts w:hint="eastAsia" w:ascii="黑体" w:hAnsi="黑体" w:eastAsia="黑体" w:cs="黑体"/>
          <w:sz w:val="30"/>
          <w:szCs w:val="30"/>
          <w:u w:val="single"/>
        </w:rPr>
        <w:t xml:space="preserve">                    </w:t>
      </w:r>
    </w:p>
    <w:p>
      <w:pPr>
        <w:adjustRightInd w:val="0"/>
        <w:snapToGrid w:val="0"/>
        <w:spacing w:line="560" w:lineRule="exact"/>
      </w:pPr>
    </w:p>
    <w:p>
      <w:pPr>
        <w:adjustRightInd w:val="0"/>
        <w:snapToGrid w:val="0"/>
        <w:spacing w:line="540" w:lineRule="exact"/>
        <w:ind w:firstLine="640" w:firstLineChars="200"/>
        <w:rPr>
          <w:rFonts w:ascii="仿宋_GB2312" w:hAnsi="仿宋_GB2312" w:eastAsia="仿宋_GB2312" w:cs="仿宋_GB2312"/>
          <w:sz w:val="32"/>
          <w:szCs w:val="32"/>
          <w:highlight w:val="none"/>
        </w:rPr>
      </w:pPr>
      <w:r>
        <w:rPr>
          <w:rFonts w:hint="eastAsia" w:ascii="仿宋_GB2312" w:eastAsia="仿宋_GB2312"/>
          <w:sz w:val="32"/>
          <w:szCs w:val="32"/>
        </w:rPr>
        <w:t>甲乙双方为规范管理</w:t>
      </w:r>
      <w:r>
        <w:rPr>
          <w:rFonts w:hint="eastAsia" w:ascii="仿宋_GB2312" w:hAnsi="仿宋_GB2312" w:eastAsia="仿宋_GB2312" w:cs="仿宋_GB2312"/>
          <w:sz w:val="32"/>
          <w:szCs w:val="32"/>
        </w:rPr>
        <w:t>各级财政投入或参与投入崇明区农业农村发展项目所形成的设施、设备等资产</w:t>
      </w:r>
      <w:r>
        <w:rPr>
          <w:rFonts w:hint="eastAsia" w:ascii="仿宋_GB2312" w:eastAsia="仿宋_GB2312"/>
          <w:sz w:val="32"/>
          <w:szCs w:val="32"/>
        </w:rPr>
        <w:t>（以下简称“农业农村财</w:t>
      </w:r>
      <w:r>
        <w:rPr>
          <w:rFonts w:hint="eastAsia" w:ascii="仿宋_GB2312" w:hAnsi="仿宋_GB2312" w:eastAsia="仿宋_GB2312" w:cs="仿宋_GB2312"/>
          <w:sz w:val="32"/>
          <w:szCs w:val="32"/>
        </w:rPr>
        <w:t>政性资产”），建立健全农业</w:t>
      </w:r>
      <w:r>
        <w:rPr>
          <w:rFonts w:hint="eastAsia" w:ascii="仿宋_GB2312" w:hAnsi="仿宋_GB2312" w:eastAsia="仿宋_GB2312" w:cs="仿宋_GB2312"/>
          <w:sz w:val="32"/>
          <w:szCs w:val="32"/>
          <w:lang w:eastAsia="zh-CN"/>
        </w:rPr>
        <w:t>农村</w:t>
      </w:r>
      <w:r>
        <w:rPr>
          <w:rFonts w:hint="eastAsia" w:ascii="仿宋_GB2312" w:hAnsi="仿宋_GB2312" w:eastAsia="仿宋_GB2312" w:cs="仿宋_GB2312"/>
          <w:sz w:val="32"/>
          <w:szCs w:val="32"/>
        </w:rPr>
        <w:t>设施财政性资产使用和</w:t>
      </w:r>
      <w:r>
        <w:rPr>
          <w:rFonts w:hint="eastAsia" w:ascii="仿宋_GB2312" w:hAnsi="仿宋_GB2312" w:eastAsia="仿宋_GB2312" w:cs="仿宋_GB2312"/>
          <w:sz w:val="32"/>
          <w:szCs w:val="32"/>
          <w:highlight w:val="none"/>
        </w:rPr>
        <w:t>管护机制，根据《崇明区农业农村财政性资产管理办法》</w:t>
      </w:r>
      <w:r>
        <w:rPr>
          <w:rFonts w:hint="eastAsia" w:ascii="仿宋_GB2312" w:hAnsi="仿宋_GB2312" w:eastAsia="仿宋_GB2312" w:cs="仿宋_GB2312"/>
          <w:sz w:val="32"/>
          <w:szCs w:val="32"/>
          <w:highlight w:val="none"/>
          <w:lang w:eastAsia="zh-CN"/>
        </w:rPr>
        <w:t>等文件</w:t>
      </w:r>
      <w:r>
        <w:rPr>
          <w:rFonts w:hint="eastAsia" w:ascii="仿宋_GB2312" w:hAnsi="仿宋_GB2312" w:eastAsia="仿宋_GB2312" w:cs="仿宋_GB2312"/>
          <w:sz w:val="32"/>
          <w:szCs w:val="32"/>
        </w:rPr>
        <w:t>规定，经双方协商，甲方委托乙方对农业农村财政性资产进行管</w:t>
      </w:r>
      <w:r>
        <w:rPr>
          <w:rFonts w:hint="eastAsia" w:ascii="仿宋_GB2312" w:hAnsi="仿宋_GB2312" w:eastAsia="仿宋_GB2312" w:cs="仿宋_GB2312"/>
          <w:sz w:val="32"/>
          <w:szCs w:val="32"/>
          <w:highlight w:val="none"/>
        </w:rPr>
        <w:t>理</w:t>
      </w:r>
      <w:r>
        <w:rPr>
          <w:rFonts w:ascii="仿宋_GB2312" w:hAnsi="仿宋_GB2312" w:eastAsia="仿宋_GB2312" w:cs="仿宋_GB2312"/>
          <w:sz w:val="32"/>
          <w:szCs w:val="32"/>
          <w:highlight w:val="none"/>
        </w:rPr>
        <w:t>，现就有</w:t>
      </w:r>
      <w:r>
        <w:rPr>
          <w:rFonts w:hint="eastAsia" w:ascii="仿宋_GB2312" w:hAnsi="仿宋_GB2312" w:eastAsia="仿宋_GB2312" w:cs="仿宋_GB2312"/>
          <w:sz w:val="32"/>
          <w:szCs w:val="32"/>
          <w:highlight w:val="none"/>
        </w:rPr>
        <w:t>关事项达成如下协议：</w:t>
      </w:r>
    </w:p>
    <w:p>
      <w:pPr>
        <w:adjustRightInd w:val="0"/>
        <w:snapToGrid w:val="0"/>
        <w:spacing w:line="540" w:lineRule="exact"/>
        <w:ind w:firstLine="640" w:firstLineChars="200"/>
        <w:rPr>
          <w:rFonts w:ascii="仿宋_GB2312" w:eastAsia="仿宋_GB2312"/>
          <w:sz w:val="32"/>
          <w:szCs w:val="32"/>
          <w:highlight w:val="none"/>
        </w:rPr>
      </w:pPr>
      <w:r>
        <w:rPr>
          <w:rFonts w:hint="eastAsia" w:ascii="楷体_GB2312" w:hAnsi="楷体_GB2312" w:eastAsia="楷体_GB2312" w:cs="楷体_GB2312"/>
          <w:sz w:val="32"/>
          <w:szCs w:val="32"/>
          <w:highlight w:val="none"/>
        </w:rPr>
        <w:t>第一条</w:t>
      </w:r>
      <w:r>
        <w:rPr>
          <w:rFonts w:hint="eastAsia" w:ascii="仿宋_GB2312" w:eastAsia="仿宋_GB2312"/>
          <w:sz w:val="32"/>
          <w:szCs w:val="32"/>
          <w:highlight w:val="none"/>
        </w:rPr>
        <w:t xml:space="preserve">  </w:t>
      </w:r>
      <w:r>
        <w:rPr>
          <w:rFonts w:hint="eastAsia" w:ascii="仿宋_GB2312" w:eastAsia="仿宋_GB2312"/>
          <w:sz w:val="32"/>
          <w:szCs w:val="32"/>
          <w:highlight w:val="none"/>
          <w:lang w:eastAsia="zh-CN"/>
        </w:rPr>
        <w:t>乙方是</w:t>
      </w:r>
      <w:r>
        <w:rPr>
          <w:rFonts w:hint="eastAsia" w:ascii="仿宋_GB2312" w:eastAsia="仿宋_GB2312"/>
          <w:sz w:val="32"/>
          <w:szCs w:val="32"/>
          <w:highlight w:val="none"/>
          <w:u w:val="single"/>
        </w:rPr>
        <w:t xml:space="preserve">              </w:t>
      </w:r>
      <w:r>
        <w:rPr>
          <w:rFonts w:hint="eastAsia" w:ascii="仿宋_GB2312" w:eastAsia="仿宋_GB2312"/>
          <w:sz w:val="32"/>
          <w:szCs w:val="32"/>
          <w:highlight w:val="none"/>
          <w:lang w:eastAsia="zh-CN"/>
        </w:rPr>
        <w:t>农业农村财政性资产的使用主体，</w:t>
      </w:r>
      <w:r>
        <w:rPr>
          <w:rFonts w:hint="eastAsia" w:ascii="仿宋_GB2312" w:eastAsia="仿宋_GB2312"/>
          <w:sz w:val="32"/>
          <w:szCs w:val="32"/>
          <w:highlight w:val="none"/>
        </w:rPr>
        <w:t>该</w:t>
      </w:r>
      <w:r>
        <w:rPr>
          <w:rFonts w:hint="eastAsia" w:ascii="仿宋_GB2312" w:eastAsia="仿宋_GB2312"/>
          <w:sz w:val="32"/>
          <w:szCs w:val="32"/>
          <w:highlight w:val="none"/>
          <w:lang w:eastAsia="zh-CN"/>
        </w:rPr>
        <w:t>项目</w:t>
      </w:r>
      <w:r>
        <w:rPr>
          <w:rFonts w:hint="eastAsia" w:ascii="仿宋_GB2312" w:eastAsia="仿宋_GB2312"/>
          <w:sz w:val="32"/>
          <w:szCs w:val="32"/>
          <w:highlight w:val="none"/>
        </w:rPr>
        <w:t>资产总金额为</w:t>
      </w:r>
      <w:r>
        <w:rPr>
          <w:rFonts w:hint="eastAsia" w:ascii="仿宋_GB2312" w:eastAsia="仿宋_GB2312"/>
          <w:sz w:val="32"/>
          <w:szCs w:val="32"/>
          <w:highlight w:val="none"/>
          <w:u w:val="single"/>
        </w:rPr>
        <w:t xml:space="preserve">       </w:t>
      </w:r>
      <w:r>
        <w:rPr>
          <w:rFonts w:hint="eastAsia" w:ascii="仿宋_GB2312" w:eastAsia="仿宋_GB2312"/>
          <w:sz w:val="32"/>
          <w:szCs w:val="32"/>
          <w:highlight w:val="none"/>
        </w:rPr>
        <w:t>元，其中中央财政投入</w:t>
      </w:r>
      <w:r>
        <w:rPr>
          <w:rFonts w:hint="eastAsia" w:ascii="仿宋_GB2312" w:eastAsia="仿宋_GB2312"/>
          <w:sz w:val="32"/>
          <w:szCs w:val="32"/>
          <w:highlight w:val="none"/>
          <w:u w:val="single"/>
        </w:rPr>
        <w:t xml:space="preserve">         </w:t>
      </w:r>
      <w:r>
        <w:rPr>
          <w:rFonts w:hint="eastAsia" w:ascii="仿宋_GB2312" w:eastAsia="仿宋_GB2312"/>
          <w:sz w:val="32"/>
          <w:szCs w:val="32"/>
          <w:highlight w:val="none"/>
        </w:rPr>
        <w:t>元，市财政投入</w:t>
      </w:r>
      <w:r>
        <w:rPr>
          <w:rFonts w:hint="eastAsia" w:ascii="仿宋_GB2312" w:eastAsia="仿宋_GB2312"/>
          <w:sz w:val="32"/>
          <w:szCs w:val="32"/>
          <w:highlight w:val="none"/>
          <w:u w:val="single"/>
        </w:rPr>
        <w:t xml:space="preserve">          </w:t>
      </w:r>
      <w:r>
        <w:rPr>
          <w:rFonts w:hint="eastAsia" w:ascii="仿宋_GB2312" w:eastAsia="仿宋_GB2312"/>
          <w:sz w:val="32"/>
          <w:szCs w:val="32"/>
          <w:highlight w:val="none"/>
        </w:rPr>
        <w:t>元，区财政投入</w:t>
      </w:r>
      <w:r>
        <w:rPr>
          <w:rFonts w:hint="eastAsia" w:ascii="仿宋_GB2312" w:eastAsia="仿宋_GB2312"/>
          <w:sz w:val="32"/>
          <w:szCs w:val="32"/>
          <w:highlight w:val="none"/>
          <w:u w:val="single"/>
        </w:rPr>
        <w:t xml:space="preserve">          </w:t>
      </w:r>
      <w:r>
        <w:rPr>
          <w:rFonts w:hint="eastAsia" w:ascii="仿宋_GB2312" w:eastAsia="仿宋_GB2312"/>
          <w:sz w:val="32"/>
          <w:szCs w:val="32"/>
          <w:highlight w:val="none"/>
        </w:rPr>
        <w:t>元，乡镇财政投入</w:t>
      </w:r>
      <w:r>
        <w:rPr>
          <w:rFonts w:hint="eastAsia" w:ascii="仿宋_GB2312" w:eastAsia="仿宋_GB2312"/>
          <w:sz w:val="32"/>
          <w:szCs w:val="32"/>
          <w:highlight w:val="none"/>
          <w:u w:val="single"/>
        </w:rPr>
        <w:t xml:space="preserve">          </w:t>
      </w:r>
      <w:r>
        <w:rPr>
          <w:rFonts w:hint="eastAsia" w:ascii="仿宋_GB2312" w:eastAsia="仿宋_GB2312"/>
          <w:sz w:val="32"/>
          <w:szCs w:val="32"/>
          <w:highlight w:val="none"/>
        </w:rPr>
        <w:t>元，乡镇集体资产投入</w:t>
      </w:r>
      <w:r>
        <w:rPr>
          <w:rFonts w:hint="eastAsia" w:ascii="仿宋_GB2312" w:eastAsia="仿宋_GB2312"/>
          <w:sz w:val="32"/>
          <w:szCs w:val="32"/>
          <w:highlight w:val="none"/>
          <w:u w:val="single"/>
        </w:rPr>
        <w:t xml:space="preserve">         </w:t>
      </w:r>
      <w:r>
        <w:rPr>
          <w:rFonts w:hint="eastAsia" w:ascii="仿宋_GB2312" w:eastAsia="仿宋_GB2312"/>
          <w:sz w:val="32"/>
          <w:szCs w:val="32"/>
          <w:highlight w:val="none"/>
        </w:rPr>
        <w:t>元，乙方自筹投入</w:t>
      </w:r>
      <w:r>
        <w:rPr>
          <w:rFonts w:hint="eastAsia" w:ascii="仿宋_GB2312" w:eastAsia="仿宋_GB2312"/>
          <w:sz w:val="32"/>
          <w:szCs w:val="32"/>
          <w:highlight w:val="none"/>
          <w:u w:val="single"/>
        </w:rPr>
        <w:t xml:space="preserve">          </w:t>
      </w:r>
      <w:r>
        <w:rPr>
          <w:rFonts w:hint="eastAsia" w:ascii="仿宋_GB2312" w:eastAsia="仿宋_GB2312"/>
          <w:sz w:val="32"/>
          <w:szCs w:val="32"/>
          <w:highlight w:val="none"/>
        </w:rPr>
        <w:t>元。</w:t>
      </w:r>
    </w:p>
    <w:p>
      <w:pPr>
        <w:adjustRightInd w:val="0"/>
        <w:snapToGrid w:val="0"/>
        <w:spacing w:line="540" w:lineRule="exact"/>
        <w:ind w:firstLine="640" w:firstLineChars="200"/>
        <w:rPr>
          <w:rFonts w:ascii="仿宋_GB2312" w:eastAsia="仿宋_GB2312"/>
          <w:sz w:val="32"/>
          <w:szCs w:val="32"/>
          <w:highlight w:val="none"/>
        </w:rPr>
      </w:pPr>
      <w:r>
        <w:rPr>
          <w:rFonts w:hint="eastAsia" w:ascii="楷体_GB2312" w:hAnsi="楷体_GB2312" w:eastAsia="楷体_GB2312" w:cs="楷体_GB2312"/>
          <w:sz w:val="32"/>
          <w:szCs w:val="32"/>
          <w:highlight w:val="none"/>
        </w:rPr>
        <w:t>第二条</w:t>
      </w:r>
      <w:r>
        <w:rPr>
          <w:rFonts w:hint="eastAsia" w:ascii="仿宋_GB2312" w:eastAsia="仿宋_GB2312"/>
          <w:sz w:val="32"/>
          <w:szCs w:val="32"/>
          <w:highlight w:val="none"/>
        </w:rPr>
        <w:t xml:space="preserve">  </w:t>
      </w:r>
      <w:r>
        <w:rPr>
          <w:rFonts w:hint="eastAsia" w:ascii="仿宋_GB2312" w:eastAsia="仿宋_GB2312"/>
          <w:sz w:val="32"/>
          <w:szCs w:val="32"/>
          <w:highlight w:val="none"/>
          <w:lang w:eastAsia="zh-CN"/>
        </w:rPr>
        <w:t>乙方管护</w:t>
      </w:r>
      <w:r>
        <w:rPr>
          <w:rFonts w:hint="eastAsia" w:ascii="仿宋_GB2312" w:eastAsia="仿宋_GB2312"/>
          <w:sz w:val="32"/>
          <w:szCs w:val="32"/>
          <w:highlight w:val="none"/>
        </w:rPr>
        <w:t>期限</w:t>
      </w:r>
      <w:r>
        <w:rPr>
          <w:rFonts w:hint="eastAsia" w:ascii="仿宋_GB2312" w:eastAsia="仿宋_GB2312"/>
          <w:sz w:val="32"/>
          <w:szCs w:val="32"/>
          <w:highlight w:val="none"/>
          <w:u w:val="single"/>
        </w:rPr>
        <w:t xml:space="preserve">   </w:t>
      </w:r>
      <w:r>
        <w:rPr>
          <w:rFonts w:hint="eastAsia" w:ascii="仿宋_GB2312" w:eastAsia="仿宋_GB2312"/>
          <w:sz w:val="32"/>
          <w:szCs w:val="32"/>
          <w:highlight w:val="none"/>
        </w:rPr>
        <w:t>年，自</w:t>
      </w:r>
      <w:r>
        <w:rPr>
          <w:rFonts w:hint="eastAsia" w:ascii="仿宋_GB2312" w:eastAsia="仿宋_GB2312"/>
          <w:sz w:val="32"/>
          <w:szCs w:val="32"/>
          <w:highlight w:val="none"/>
          <w:u w:val="single"/>
        </w:rPr>
        <w:t xml:space="preserve">       </w:t>
      </w:r>
      <w:r>
        <w:rPr>
          <w:rFonts w:hint="eastAsia" w:ascii="仿宋_GB2312" w:eastAsia="仿宋_GB2312"/>
          <w:sz w:val="32"/>
          <w:szCs w:val="32"/>
          <w:highlight w:val="none"/>
        </w:rPr>
        <w:t>年</w:t>
      </w:r>
      <w:r>
        <w:rPr>
          <w:rFonts w:hint="eastAsia" w:ascii="仿宋_GB2312" w:eastAsia="仿宋_GB2312"/>
          <w:sz w:val="32"/>
          <w:szCs w:val="32"/>
          <w:highlight w:val="none"/>
          <w:u w:val="single"/>
        </w:rPr>
        <w:t xml:space="preserve">     </w:t>
      </w:r>
      <w:r>
        <w:rPr>
          <w:rFonts w:hint="eastAsia" w:ascii="仿宋_GB2312" w:eastAsia="仿宋_GB2312"/>
          <w:sz w:val="32"/>
          <w:szCs w:val="32"/>
          <w:highlight w:val="none"/>
        </w:rPr>
        <w:t>月</w:t>
      </w:r>
      <w:r>
        <w:rPr>
          <w:rFonts w:hint="eastAsia" w:ascii="仿宋_GB2312" w:eastAsia="仿宋_GB2312"/>
          <w:sz w:val="32"/>
          <w:szCs w:val="32"/>
          <w:highlight w:val="none"/>
          <w:u w:val="single"/>
        </w:rPr>
        <w:t xml:space="preserve">     </w:t>
      </w:r>
      <w:r>
        <w:rPr>
          <w:rFonts w:hint="eastAsia" w:ascii="仿宋_GB2312" w:eastAsia="仿宋_GB2312"/>
          <w:sz w:val="32"/>
          <w:szCs w:val="32"/>
          <w:highlight w:val="none"/>
        </w:rPr>
        <w:t>日至</w:t>
      </w:r>
      <w:r>
        <w:rPr>
          <w:rFonts w:hint="eastAsia" w:ascii="仿宋_GB2312" w:eastAsia="仿宋_GB2312"/>
          <w:sz w:val="32"/>
          <w:szCs w:val="32"/>
          <w:highlight w:val="none"/>
          <w:u w:val="single"/>
        </w:rPr>
        <w:t xml:space="preserve">     </w:t>
      </w:r>
      <w:r>
        <w:rPr>
          <w:rFonts w:hint="eastAsia" w:ascii="仿宋_GB2312" w:eastAsia="仿宋_GB2312"/>
          <w:sz w:val="32"/>
          <w:szCs w:val="32"/>
          <w:highlight w:val="none"/>
        </w:rPr>
        <w:t>年</w:t>
      </w:r>
      <w:r>
        <w:rPr>
          <w:rFonts w:hint="eastAsia" w:ascii="仿宋_GB2312" w:eastAsia="仿宋_GB2312"/>
          <w:sz w:val="32"/>
          <w:szCs w:val="32"/>
          <w:highlight w:val="none"/>
          <w:u w:val="single"/>
        </w:rPr>
        <w:t xml:space="preserve">     </w:t>
      </w:r>
      <w:r>
        <w:rPr>
          <w:rFonts w:hint="eastAsia" w:ascii="仿宋_GB2312" w:eastAsia="仿宋_GB2312"/>
          <w:sz w:val="32"/>
          <w:szCs w:val="32"/>
          <w:highlight w:val="none"/>
        </w:rPr>
        <w:t>月</w:t>
      </w:r>
      <w:r>
        <w:rPr>
          <w:rFonts w:hint="eastAsia" w:ascii="仿宋_GB2312" w:eastAsia="仿宋_GB2312"/>
          <w:sz w:val="32"/>
          <w:szCs w:val="32"/>
          <w:highlight w:val="none"/>
          <w:u w:val="single"/>
        </w:rPr>
        <w:t xml:space="preserve">     </w:t>
      </w:r>
      <w:r>
        <w:rPr>
          <w:rFonts w:hint="eastAsia" w:ascii="仿宋_GB2312" w:eastAsia="仿宋_GB2312"/>
          <w:sz w:val="32"/>
          <w:szCs w:val="32"/>
          <w:highlight w:val="none"/>
        </w:rPr>
        <w:t>日止。</w:t>
      </w:r>
    </w:p>
    <w:p>
      <w:pPr>
        <w:adjustRightInd w:val="0"/>
        <w:snapToGrid w:val="0"/>
        <w:spacing w:line="540" w:lineRule="exact"/>
        <w:ind w:firstLine="640" w:firstLineChars="200"/>
        <w:rPr>
          <w:rFonts w:hint="eastAsia" w:ascii="仿宋_GB2312" w:eastAsia="仿宋_GB2312"/>
          <w:sz w:val="32"/>
          <w:szCs w:val="32"/>
          <w:highlight w:val="none"/>
          <w:u w:val="single"/>
        </w:rPr>
      </w:pPr>
      <w:r>
        <w:rPr>
          <w:rFonts w:hint="eastAsia" w:ascii="楷体_GB2312" w:hAnsi="楷体_GB2312" w:eastAsia="楷体_GB2312" w:cs="楷体_GB2312"/>
          <w:sz w:val="32"/>
          <w:szCs w:val="32"/>
          <w:highlight w:val="none"/>
        </w:rPr>
        <w:t>第三条</w:t>
      </w:r>
      <w:r>
        <w:rPr>
          <w:rFonts w:hint="eastAsia" w:ascii="仿宋_GB2312" w:eastAsia="仿宋_GB2312"/>
          <w:sz w:val="32"/>
          <w:szCs w:val="32"/>
          <w:highlight w:val="none"/>
        </w:rPr>
        <w:t xml:space="preserve">  </w:t>
      </w:r>
      <w:r>
        <w:rPr>
          <w:rFonts w:hint="eastAsia" w:ascii="仿宋_GB2312" w:eastAsia="仿宋_GB2312"/>
          <w:sz w:val="32"/>
          <w:szCs w:val="32"/>
          <w:highlight w:val="none"/>
          <w:lang w:eastAsia="zh-CN"/>
        </w:rPr>
        <w:t>乙方主要将此资产用于</w:t>
      </w:r>
      <w:r>
        <w:rPr>
          <w:rFonts w:hint="eastAsia" w:ascii="仿宋_GB2312" w:eastAsia="仿宋_GB2312"/>
          <w:sz w:val="32"/>
          <w:szCs w:val="32"/>
          <w:highlight w:val="none"/>
          <w:u w:val="single"/>
        </w:rPr>
        <w:t xml:space="preserve">                        </w:t>
      </w:r>
    </w:p>
    <w:p>
      <w:pPr>
        <w:adjustRightInd w:val="0"/>
        <w:snapToGrid w:val="0"/>
        <w:spacing w:line="540" w:lineRule="exact"/>
        <w:rPr>
          <w:rFonts w:hint="eastAsia" w:ascii="仿宋_GB2312" w:eastAsia="仿宋_GB2312"/>
          <w:sz w:val="32"/>
          <w:szCs w:val="32"/>
          <w:highlight w:val="none"/>
          <w:u w:val="single"/>
          <w:lang w:eastAsia="zh-CN"/>
        </w:rPr>
      </w:pPr>
      <w:r>
        <w:rPr>
          <w:rFonts w:hint="eastAsia" w:ascii="仿宋_GB2312" w:eastAsia="仿宋_GB2312"/>
          <w:sz w:val="32"/>
          <w:szCs w:val="32"/>
          <w:highlight w:val="none"/>
          <w:u w:val="single"/>
        </w:rPr>
        <w:t xml:space="preserve">                                                      </w:t>
      </w:r>
      <w:r>
        <w:rPr>
          <w:rFonts w:hint="eastAsia" w:ascii="仿宋_GB2312" w:eastAsia="仿宋_GB2312"/>
          <w:sz w:val="32"/>
          <w:szCs w:val="32"/>
          <w:highlight w:val="none"/>
          <w:u w:val="single"/>
          <w:lang w:eastAsia="zh-CN"/>
        </w:rPr>
        <w:t>；</w:t>
      </w:r>
      <w:r>
        <w:rPr>
          <w:rFonts w:hint="eastAsia" w:ascii="仿宋_GB2312" w:eastAsia="仿宋_GB2312"/>
          <w:sz w:val="32"/>
          <w:szCs w:val="32"/>
          <w:highlight w:val="none"/>
          <w:u w:val="none"/>
          <w:lang w:eastAsia="zh-CN"/>
        </w:rPr>
        <w:t>不得挪作他用。</w:t>
      </w:r>
    </w:p>
    <w:p>
      <w:pPr>
        <w:adjustRightInd w:val="0"/>
        <w:snapToGrid w:val="0"/>
        <w:spacing w:line="54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 xml:space="preserve"> </w:t>
      </w:r>
      <w:r>
        <w:rPr>
          <w:rFonts w:hint="eastAsia" w:ascii="楷体_GB2312" w:hAnsi="楷体_GB2312" w:eastAsia="楷体_GB2312" w:cs="楷体_GB2312"/>
          <w:sz w:val="32"/>
          <w:szCs w:val="32"/>
          <w:highlight w:val="none"/>
        </w:rPr>
        <w:t>第</w:t>
      </w:r>
      <w:r>
        <w:rPr>
          <w:rFonts w:hint="eastAsia" w:ascii="楷体_GB2312" w:hAnsi="楷体_GB2312" w:eastAsia="楷体_GB2312" w:cs="楷体_GB2312"/>
          <w:sz w:val="32"/>
          <w:szCs w:val="32"/>
          <w:highlight w:val="none"/>
          <w:lang w:eastAsia="zh-CN"/>
        </w:rPr>
        <w:t>四</w:t>
      </w:r>
      <w:r>
        <w:rPr>
          <w:rFonts w:hint="eastAsia" w:ascii="楷体_GB2312" w:hAnsi="楷体_GB2312" w:eastAsia="楷体_GB2312" w:cs="楷体_GB2312"/>
          <w:sz w:val="32"/>
          <w:szCs w:val="32"/>
          <w:highlight w:val="none"/>
        </w:rPr>
        <w:t>条</w:t>
      </w:r>
      <w:r>
        <w:rPr>
          <w:rFonts w:hint="eastAsia" w:ascii="仿宋_GB2312" w:eastAsia="仿宋_GB2312"/>
          <w:sz w:val="32"/>
          <w:szCs w:val="32"/>
          <w:highlight w:val="none"/>
        </w:rPr>
        <w:t xml:space="preserve">  </w:t>
      </w:r>
      <w:r>
        <w:rPr>
          <w:rFonts w:hint="eastAsia" w:ascii="仿宋_GB2312" w:eastAsia="仿宋_GB2312"/>
          <w:sz w:val="32"/>
          <w:szCs w:val="32"/>
          <w:highlight w:val="none"/>
          <w:lang w:eastAsia="zh-CN"/>
        </w:rPr>
        <w:t>甲方是农业农村财政性资产的法定管理主体，应履行农业农村财政性资产的监督管理义务</w:t>
      </w:r>
      <w:r>
        <w:rPr>
          <w:rFonts w:hint="eastAsia" w:ascii="仿宋_GB2312" w:eastAsia="仿宋_GB2312"/>
          <w:sz w:val="32"/>
          <w:szCs w:val="32"/>
          <w:highlight w:val="none"/>
        </w:rPr>
        <w:t>：</w:t>
      </w:r>
    </w:p>
    <w:p>
      <w:pPr>
        <w:pStyle w:val="2"/>
        <w:adjustRightInd w:val="0"/>
        <w:snapToGrid w:val="0"/>
        <w:spacing w:line="540" w:lineRule="exact"/>
        <w:ind w:firstLine="640" w:firstLineChars="200"/>
        <w:jc w:val="both"/>
        <w:rPr>
          <w:rFonts w:ascii="仿宋_GB2312" w:hAnsi="仿宋_GB2312" w:eastAsia="仿宋_GB2312" w:cs="仿宋_GB2312"/>
          <w:sz w:val="32"/>
          <w:szCs w:val="32"/>
          <w:highlight w:val="none"/>
        </w:rPr>
      </w:pPr>
      <w:r>
        <w:rPr>
          <w:rFonts w:ascii="仿宋_GB2312" w:eastAsia="仿宋_GB2312"/>
          <w:sz w:val="32"/>
          <w:szCs w:val="32"/>
          <w:highlight w:val="none"/>
        </w:rPr>
        <w:t>1.</w:t>
      </w:r>
      <w:r>
        <w:rPr>
          <w:rFonts w:hint="eastAsia" w:ascii="仿宋_GB2312" w:hAnsi="仿宋_GB2312" w:eastAsia="仿宋_GB2312" w:cs="仿宋_GB2312"/>
          <w:sz w:val="32"/>
          <w:szCs w:val="32"/>
        </w:rPr>
        <w:t xml:space="preserve"> 对达到使用年限的农业农村财政性资产进行报废、开发、转让等处置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由各乡镇人民政府及有关单位按照资产处置的管理流程及权限进行处置，并将处置方案报区农业农村委和区财政局备案</w:t>
      </w:r>
      <w:r>
        <w:rPr>
          <w:rFonts w:hint="eastAsia" w:ascii="仿宋_GB2312" w:hAnsi="仿宋_GB2312" w:eastAsia="仿宋_GB2312" w:cs="仿宋_GB2312"/>
          <w:sz w:val="32"/>
          <w:szCs w:val="32"/>
          <w:highlight w:val="none"/>
        </w:rPr>
        <w:t>。</w:t>
      </w:r>
    </w:p>
    <w:p>
      <w:pPr>
        <w:pStyle w:val="2"/>
        <w:adjustRightInd w:val="0"/>
        <w:snapToGrid w:val="0"/>
        <w:spacing w:line="540" w:lineRule="exact"/>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2.对未达使用年限的农业农村财政性资产进行报废、开发、转让等处置。</w:t>
      </w:r>
    </w:p>
    <w:p>
      <w:pPr>
        <w:pStyle w:val="2"/>
        <w:adjustRightInd w:val="0"/>
        <w:snapToGrid w:val="0"/>
        <w:spacing w:line="540" w:lineRule="exact"/>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（1）属市级部门批复项目形成的财政性资产，须由各乡镇人民政府及有关单位报送区农业农村委、区财政局联合审核后，上报经市农业农村委会同市财政局批准后</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方可实施。</w:t>
      </w:r>
    </w:p>
    <w:p>
      <w:pPr>
        <w:pStyle w:val="2"/>
        <w:adjustRightInd w:val="0"/>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rPr>
        <w:t>属区级部门批复项目（</w:t>
      </w:r>
      <w:r>
        <w:rPr>
          <w:rFonts w:hint="eastAsia" w:ascii="仿宋_GB2312" w:hAnsi="仿宋_GB2312" w:eastAsia="仿宋_GB2312" w:cs="仿宋_GB2312"/>
          <w:sz w:val="32"/>
          <w:szCs w:val="32"/>
          <w:lang w:eastAsia="zh-CN"/>
        </w:rPr>
        <w:t>不含使用市级财政资金的区级部门批复项目，</w:t>
      </w:r>
      <w:r>
        <w:rPr>
          <w:rFonts w:hint="eastAsia" w:ascii="仿宋_GB2312" w:hAnsi="仿宋_GB2312" w:eastAsia="仿宋_GB2312" w:cs="仿宋_GB2312"/>
          <w:sz w:val="32"/>
          <w:szCs w:val="32"/>
        </w:rPr>
        <w:t>不含转批项目）形成的财政性资产，须由各乡镇人民政府及有关单位报送区农业农村委、区财政局</w:t>
      </w:r>
      <w:r>
        <w:rPr>
          <w:rFonts w:hint="eastAsia" w:ascii="仿宋_GB2312" w:hAnsi="仿宋_GB2312" w:eastAsia="仿宋_GB2312" w:cs="仿宋_GB2312"/>
          <w:sz w:val="32"/>
          <w:szCs w:val="32"/>
          <w:lang w:eastAsia="zh-CN"/>
        </w:rPr>
        <w:t>审批，同意</w:t>
      </w:r>
      <w:r>
        <w:rPr>
          <w:rFonts w:hint="eastAsia" w:ascii="仿宋_GB2312" w:hAnsi="仿宋_GB2312" w:eastAsia="仿宋_GB2312" w:cs="仿宋_GB2312"/>
          <w:sz w:val="32"/>
          <w:szCs w:val="32"/>
        </w:rPr>
        <w:t>后方可实施</w:t>
      </w:r>
      <w:r>
        <w:rPr>
          <w:rFonts w:hint="eastAsia" w:ascii="仿宋_GB2312" w:hAnsi="仿宋_GB2312" w:eastAsia="仿宋_GB2312" w:cs="仿宋_GB2312"/>
          <w:sz w:val="32"/>
          <w:szCs w:val="32"/>
          <w:highlight w:val="none"/>
        </w:rPr>
        <w:t>。</w:t>
      </w:r>
    </w:p>
    <w:p>
      <w:pPr>
        <w:adjustRightInd w:val="0"/>
        <w:snapToGrid w:val="0"/>
        <w:spacing w:line="540" w:lineRule="exact"/>
        <w:ind w:firstLine="640" w:firstLineChars="200"/>
        <w:rPr>
          <w:rFonts w:ascii="仿宋_GB2312" w:eastAsia="仿宋_GB2312"/>
          <w:sz w:val="32"/>
          <w:szCs w:val="32"/>
          <w:highlight w:val="none"/>
        </w:rPr>
      </w:pPr>
      <w:r>
        <w:rPr>
          <w:rFonts w:hint="eastAsia" w:ascii="楷体_GB2312" w:hAnsi="楷体_GB2312" w:eastAsia="楷体_GB2312" w:cs="楷体_GB2312"/>
          <w:sz w:val="32"/>
          <w:szCs w:val="32"/>
          <w:highlight w:val="none"/>
        </w:rPr>
        <w:t>第</w:t>
      </w:r>
      <w:r>
        <w:rPr>
          <w:rFonts w:hint="eastAsia" w:ascii="楷体_GB2312" w:hAnsi="楷体_GB2312" w:eastAsia="楷体_GB2312" w:cs="楷体_GB2312"/>
          <w:sz w:val="32"/>
          <w:szCs w:val="32"/>
          <w:highlight w:val="none"/>
          <w:lang w:eastAsia="zh-CN"/>
        </w:rPr>
        <w:t>五</w:t>
      </w:r>
      <w:r>
        <w:rPr>
          <w:rFonts w:hint="eastAsia" w:ascii="楷体_GB2312" w:hAnsi="楷体_GB2312" w:eastAsia="楷体_GB2312" w:cs="楷体_GB2312"/>
          <w:sz w:val="32"/>
          <w:szCs w:val="32"/>
          <w:highlight w:val="none"/>
        </w:rPr>
        <w:t>条</w:t>
      </w:r>
      <w:r>
        <w:rPr>
          <w:rFonts w:hint="eastAsia" w:ascii="仿宋_GB2312" w:eastAsia="仿宋_GB2312"/>
          <w:sz w:val="32"/>
          <w:szCs w:val="32"/>
          <w:highlight w:val="none"/>
        </w:rPr>
        <w:t xml:space="preserve">  为保证农业农村财政性资产的使用效率，乙方在使用和管护期间，应履行以下义务：</w:t>
      </w:r>
    </w:p>
    <w:p>
      <w:pPr>
        <w:adjustRightInd w:val="0"/>
        <w:snapToGrid w:val="0"/>
        <w:spacing w:line="540" w:lineRule="exact"/>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rPr>
        <w:t>.不得擅自转包农业农村财政性资产，确需转包的，应事前向当地乡镇人民政府</w:t>
      </w:r>
      <w:r>
        <w:rPr>
          <w:rFonts w:hint="eastAsia" w:ascii="仿宋_GB2312" w:hAnsi="仿宋_GB2312" w:eastAsia="仿宋_GB2312" w:cs="仿宋_GB2312"/>
          <w:sz w:val="32"/>
          <w:szCs w:val="32"/>
          <w:highlight w:val="none"/>
        </w:rPr>
        <w:t>及有关单位</w:t>
      </w:r>
      <w:r>
        <w:rPr>
          <w:rFonts w:hint="eastAsia" w:ascii="仿宋_GB2312" w:eastAsia="仿宋_GB2312"/>
          <w:sz w:val="32"/>
          <w:szCs w:val="32"/>
          <w:highlight w:val="none"/>
        </w:rPr>
        <w:t>报告，乡镇人民政府</w:t>
      </w:r>
      <w:r>
        <w:rPr>
          <w:rFonts w:hint="eastAsia" w:ascii="仿宋_GB2312" w:hAnsi="仿宋_GB2312" w:eastAsia="仿宋_GB2312" w:cs="仿宋_GB2312"/>
          <w:sz w:val="32"/>
          <w:szCs w:val="32"/>
          <w:highlight w:val="none"/>
        </w:rPr>
        <w:t>及有关单位</w:t>
      </w:r>
      <w:r>
        <w:rPr>
          <w:rFonts w:hint="eastAsia" w:ascii="仿宋_GB2312" w:eastAsia="仿宋_GB2312"/>
          <w:sz w:val="32"/>
          <w:szCs w:val="32"/>
          <w:highlight w:val="none"/>
        </w:rPr>
        <w:t>收回相应的财政性资产使用权后，由乡镇人民政府</w:t>
      </w:r>
      <w:r>
        <w:rPr>
          <w:rFonts w:hint="eastAsia" w:ascii="仿宋_GB2312" w:hAnsi="仿宋_GB2312" w:eastAsia="仿宋_GB2312" w:cs="仿宋_GB2312"/>
          <w:sz w:val="32"/>
          <w:szCs w:val="32"/>
          <w:highlight w:val="none"/>
        </w:rPr>
        <w:t>及有关单位</w:t>
      </w:r>
      <w:r>
        <w:rPr>
          <w:rFonts w:hint="eastAsia" w:ascii="仿宋_GB2312" w:eastAsia="仿宋_GB2312"/>
          <w:sz w:val="32"/>
          <w:szCs w:val="32"/>
          <w:highlight w:val="none"/>
        </w:rPr>
        <w:t>与承租方另行签订使用和管护协议。</w:t>
      </w:r>
      <w:r>
        <w:rPr>
          <w:rFonts w:hint="eastAsia" w:ascii="仿宋_GB2312" w:eastAsia="仿宋_GB2312"/>
          <w:sz w:val="32"/>
          <w:szCs w:val="32"/>
          <w:highlight w:val="none"/>
          <w:lang w:eastAsia="zh-CN"/>
        </w:rPr>
        <w:t>若乙方擅自转包农业农村财政性资产，甲方有权收回资产并单方解除本协议，造成资产损坏或灭失的，由乙方全额赔偿。</w:t>
      </w:r>
    </w:p>
    <w:p>
      <w:pPr>
        <w:adjustRightInd w:val="0"/>
        <w:snapToGrid w:val="0"/>
        <w:spacing w:line="54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lang w:val="en-US" w:eastAsia="zh-CN"/>
        </w:rPr>
        <w:t>2</w:t>
      </w:r>
      <w:r>
        <w:rPr>
          <w:rFonts w:ascii="仿宋_GB2312" w:eastAsia="仿宋_GB2312"/>
          <w:sz w:val="32"/>
          <w:szCs w:val="32"/>
          <w:highlight w:val="none"/>
        </w:rPr>
        <w:t>.</w:t>
      </w:r>
      <w:r>
        <w:rPr>
          <w:rFonts w:hint="eastAsia" w:ascii="仿宋_GB2312" w:eastAsia="仿宋_GB2312"/>
          <w:sz w:val="32"/>
          <w:szCs w:val="32"/>
          <w:highlight w:val="none"/>
          <w:lang w:eastAsia="zh-CN"/>
        </w:rPr>
        <w:t>在</w:t>
      </w:r>
      <w:r>
        <w:rPr>
          <w:rFonts w:hint="eastAsia" w:ascii="仿宋_GB2312" w:eastAsia="仿宋_GB2312"/>
          <w:sz w:val="32"/>
          <w:szCs w:val="32"/>
          <w:highlight w:val="none"/>
        </w:rPr>
        <w:t>分立、合并、解散或因国家建设被征收（用）时，应及时向乡镇人民政府</w:t>
      </w:r>
      <w:r>
        <w:rPr>
          <w:rFonts w:hint="eastAsia" w:ascii="仿宋_GB2312" w:hAnsi="仿宋_GB2312" w:eastAsia="仿宋_GB2312" w:cs="仿宋_GB2312"/>
          <w:sz w:val="32"/>
          <w:szCs w:val="32"/>
          <w:highlight w:val="none"/>
        </w:rPr>
        <w:t>及有关单位</w:t>
      </w:r>
      <w:r>
        <w:rPr>
          <w:rFonts w:hint="eastAsia" w:ascii="仿宋_GB2312" w:eastAsia="仿宋_GB2312"/>
          <w:sz w:val="32"/>
          <w:szCs w:val="32"/>
          <w:highlight w:val="none"/>
        </w:rPr>
        <w:t>报告，并经区农业农村委、区财政局审批同意后，委托具有相应资质的社会中介对农业农村财政性资产进行评估和产权界定。农业农村财政性资产及其征收（用）补偿金按照评估金额和投资比例进行分配，属各级财政投资取得的部分上交</w:t>
      </w:r>
      <w:r>
        <w:rPr>
          <w:rFonts w:hint="eastAsia" w:ascii="仿宋_GB2312" w:hAnsi="仿宋_GB2312" w:eastAsia="仿宋_GB2312" w:cs="仿宋_GB2312"/>
          <w:sz w:val="32"/>
          <w:szCs w:val="32"/>
          <w:highlight w:val="none"/>
        </w:rPr>
        <w:t>乡镇财政国库</w:t>
      </w:r>
      <w:r>
        <w:rPr>
          <w:rFonts w:hint="eastAsia" w:ascii="仿宋_GB2312" w:eastAsia="仿宋_GB2312"/>
          <w:sz w:val="32"/>
          <w:szCs w:val="32"/>
          <w:highlight w:val="none"/>
        </w:rPr>
        <w:t>。</w:t>
      </w:r>
    </w:p>
    <w:p>
      <w:pPr>
        <w:adjustRightInd w:val="0"/>
        <w:snapToGrid w:val="0"/>
        <w:spacing w:line="54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.经营期间须确保农业农村财政性资产完整，所需管护费用除各级财政规定外均由乙方承担。</w:t>
      </w:r>
    </w:p>
    <w:p>
      <w:pPr>
        <w:adjustRightInd w:val="0"/>
        <w:snapToGrid w:val="0"/>
        <w:spacing w:line="540" w:lineRule="exact"/>
        <w:ind w:firstLine="640" w:firstLineChars="200"/>
        <w:rPr>
          <w:rFonts w:ascii="仿宋_GB2312" w:eastAsia="仿宋_GB2312"/>
          <w:sz w:val="32"/>
          <w:szCs w:val="32"/>
          <w:highlight w:val="none"/>
        </w:rPr>
      </w:pPr>
      <w:r>
        <w:rPr>
          <w:rFonts w:hint="eastAsia" w:ascii="楷体_GB2312" w:hAnsi="楷体_GB2312" w:eastAsia="楷体_GB2312" w:cs="楷体_GB2312"/>
          <w:sz w:val="32"/>
          <w:szCs w:val="32"/>
          <w:highlight w:val="none"/>
        </w:rPr>
        <w:t>第</w:t>
      </w:r>
      <w:r>
        <w:rPr>
          <w:rFonts w:hint="eastAsia" w:ascii="楷体_GB2312" w:hAnsi="楷体_GB2312" w:eastAsia="楷体_GB2312" w:cs="楷体_GB2312"/>
          <w:sz w:val="32"/>
          <w:szCs w:val="32"/>
          <w:highlight w:val="none"/>
          <w:lang w:eastAsia="zh-CN"/>
        </w:rPr>
        <w:t>六</w:t>
      </w:r>
      <w:r>
        <w:rPr>
          <w:rFonts w:hint="eastAsia" w:ascii="楷体_GB2312" w:hAnsi="楷体_GB2312" w:eastAsia="楷体_GB2312" w:cs="楷体_GB2312"/>
          <w:sz w:val="32"/>
          <w:szCs w:val="32"/>
          <w:highlight w:val="none"/>
        </w:rPr>
        <w:t xml:space="preserve">条  </w:t>
      </w:r>
      <w:r>
        <w:rPr>
          <w:rFonts w:hint="eastAsia" w:ascii="仿宋_GB2312" w:eastAsia="仿宋_GB2312"/>
          <w:sz w:val="32"/>
          <w:szCs w:val="32"/>
          <w:highlight w:val="none"/>
        </w:rPr>
        <w:t>乙方</w:t>
      </w:r>
      <w:r>
        <w:rPr>
          <w:rFonts w:ascii="仿宋_GB2312" w:eastAsia="仿宋_GB2312"/>
          <w:sz w:val="32"/>
          <w:szCs w:val="32"/>
          <w:highlight w:val="none"/>
        </w:rPr>
        <w:t>经营</w:t>
      </w:r>
      <w:r>
        <w:rPr>
          <w:rFonts w:hint="eastAsia" w:ascii="仿宋_GB2312" w:eastAsia="仿宋_GB2312"/>
          <w:sz w:val="32"/>
          <w:szCs w:val="32"/>
          <w:highlight w:val="none"/>
        </w:rPr>
        <w:t>期间，如</w:t>
      </w:r>
      <w:r>
        <w:rPr>
          <w:rFonts w:ascii="仿宋_GB2312" w:eastAsia="仿宋_GB2312"/>
          <w:sz w:val="32"/>
          <w:szCs w:val="32"/>
          <w:highlight w:val="none"/>
        </w:rPr>
        <w:t>乙方</w:t>
      </w:r>
      <w:r>
        <w:rPr>
          <w:rFonts w:hint="eastAsia" w:ascii="仿宋_GB2312" w:eastAsia="仿宋_GB2312"/>
          <w:sz w:val="32"/>
          <w:szCs w:val="32"/>
          <w:highlight w:val="none"/>
        </w:rPr>
        <w:t>经营不善造成农业农村财政性资产闲置</w:t>
      </w:r>
      <w:r>
        <w:rPr>
          <w:rFonts w:hint="eastAsia" w:ascii="仿宋_GB2312" w:eastAsia="仿宋_GB2312"/>
          <w:sz w:val="32"/>
          <w:szCs w:val="32"/>
          <w:highlight w:val="none"/>
          <w:lang w:eastAsia="zh-CN"/>
        </w:rPr>
        <w:t>超六个月</w:t>
      </w:r>
      <w:r>
        <w:rPr>
          <w:rFonts w:hint="eastAsia" w:ascii="仿宋_GB2312" w:eastAsia="仿宋_GB2312"/>
          <w:sz w:val="32"/>
          <w:szCs w:val="32"/>
          <w:highlight w:val="none"/>
        </w:rPr>
        <w:t>的，甲方有权收回资产</w:t>
      </w:r>
      <w:r>
        <w:rPr>
          <w:rFonts w:hint="eastAsia" w:ascii="仿宋_GB2312" w:eastAsia="仿宋_GB2312"/>
          <w:sz w:val="32"/>
          <w:szCs w:val="32"/>
          <w:highlight w:val="none"/>
          <w:lang w:eastAsia="zh-CN"/>
        </w:rPr>
        <w:t>，并</w:t>
      </w:r>
      <w:r>
        <w:rPr>
          <w:rFonts w:hint="eastAsia" w:ascii="仿宋_GB2312" w:eastAsia="仿宋_GB2312"/>
          <w:sz w:val="32"/>
          <w:szCs w:val="32"/>
          <w:highlight w:val="none"/>
        </w:rPr>
        <w:t>单方解除本协议；如造成甲方资产损坏或灭失的，乙方还应全额赔偿；情节严重的将依法追究责任。</w:t>
      </w:r>
    </w:p>
    <w:p>
      <w:pPr>
        <w:adjustRightInd w:val="0"/>
        <w:snapToGrid w:val="0"/>
        <w:spacing w:line="540" w:lineRule="exact"/>
        <w:ind w:firstLine="640" w:firstLineChars="200"/>
        <w:rPr>
          <w:rFonts w:ascii="仿宋_GB2312" w:eastAsia="仿宋_GB2312"/>
          <w:sz w:val="32"/>
          <w:szCs w:val="32"/>
        </w:rPr>
      </w:pPr>
      <w:r>
        <w:rPr>
          <w:rFonts w:hint="eastAsia" w:ascii="楷体_GB2312" w:hAnsi="楷体_GB2312" w:eastAsia="楷体_GB2312" w:cs="楷体_GB2312"/>
          <w:sz w:val="32"/>
          <w:szCs w:val="32"/>
          <w:highlight w:val="none"/>
        </w:rPr>
        <w:t>第</w:t>
      </w:r>
      <w:r>
        <w:rPr>
          <w:rFonts w:hint="eastAsia" w:ascii="楷体_GB2312" w:hAnsi="楷体_GB2312" w:eastAsia="楷体_GB2312" w:cs="楷体_GB2312"/>
          <w:sz w:val="32"/>
          <w:szCs w:val="32"/>
          <w:highlight w:val="none"/>
          <w:lang w:eastAsia="zh-CN"/>
        </w:rPr>
        <w:t>七</w:t>
      </w:r>
      <w:r>
        <w:rPr>
          <w:rFonts w:hint="eastAsia" w:ascii="楷体_GB2312" w:hAnsi="楷体_GB2312" w:eastAsia="楷体_GB2312" w:cs="楷体_GB2312"/>
          <w:sz w:val="32"/>
          <w:szCs w:val="32"/>
          <w:highlight w:val="none"/>
        </w:rPr>
        <w:t>条</w:t>
      </w:r>
      <w:r>
        <w:rPr>
          <w:rFonts w:hint="eastAsia" w:ascii="仿宋_GB2312" w:eastAsia="仿宋_GB2312"/>
          <w:sz w:val="32"/>
          <w:szCs w:val="32"/>
        </w:rPr>
        <w:t>　本协议到期前，因发生政策因素及其他不可抗力原因，致使乙方无法正常继续履行协议的，则本协议自动终止，甲方有权立即收回农业农村财政性资产。</w:t>
      </w:r>
    </w:p>
    <w:p>
      <w:pPr>
        <w:adjustRightInd w:val="0"/>
        <w:snapToGrid w:val="0"/>
        <w:spacing w:afterLines="100" w:line="540" w:lineRule="exact"/>
        <w:ind w:firstLine="640" w:firstLineChars="200"/>
        <w:rPr>
          <w:rFonts w:ascii="仿宋_GB2312" w:eastAsia="仿宋_GB2312"/>
          <w:sz w:val="32"/>
          <w:szCs w:val="32"/>
        </w:rPr>
      </w:pPr>
      <w:r>
        <w:rPr>
          <w:rFonts w:hint="eastAsia" w:ascii="楷体_GB2312" w:hAnsi="楷体_GB2312" w:eastAsia="楷体_GB2312" w:cs="楷体_GB2312"/>
          <w:sz w:val="32"/>
          <w:szCs w:val="32"/>
        </w:rPr>
        <w:t>第</w:t>
      </w:r>
      <w:r>
        <w:rPr>
          <w:rFonts w:hint="eastAsia" w:ascii="楷体_GB2312" w:hAnsi="楷体_GB2312" w:eastAsia="楷体_GB2312" w:cs="楷体_GB2312"/>
          <w:sz w:val="32"/>
          <w:szCs w:val="32"/>
          <w:lang w:eastAsia="zh-CN"/>
        </w:rPr>
        <w:t>八</w:t>
      </w:r>
      <w:r>
        <w:rPr>
          <w:rFonts w:hint="eastAsia" w:ascii="楷体_GB2312" w:hAnsi="楷体_GB2312" w:eastAsia="楷体_GB2312" w:cs="楷体_GB2312"/>
          <w:sz w:val="32"/>
          <w:szCs w:val="32"/>
        </w:rPr>
        <w:t>条</w:t>
      </w:r>
      <w:r>
        <w:rPr>
          <w:rFonts w:hint="eastAsia" w:ascii="仿宋_GB2312" w:eastAsia="仿宋_GB2312"/>
          <w:sz w:val="32"/>
          <w:szCs w:val="32"/>
        </w:rPr>
        <w:t>　本协议一式四份，甲、乙方各执一份，区农业农村委、区财政局留存一份，经甲、乙方法定代表或授权代表签字、盖章后生效。</w:t>
      </w:r>
    </w:p>
    <w:tbl>
      <w:tblPr>
        <w:tblStyle w:val="7"/>
        <w:tblW w:w="9174" w:type="dxa"/>
        <w:tblInd w:w="0" w:type="dxa"/>
        <w:tblLayout w:type="fixed"/>
        <w:tblCellMar>
          <w:top w:w="0" w:type="dxa"/>
          <w:left w:w="108" w:type="dxa"/>
          <w:bottom w:w="0" w:type="dxa"/>
          <w:right w:w="108" w:type="dxa"/>
        </w:tblCellMar>
      </w:tblPr>
      <w:tblGrid>
        <w:gridCol w:w="4587"/>
        <w:gridCol w:w="4587"/>
      </w:tblGrid>
      <w:tr>
        <w:tblPrEx>
          <w:tblLayout w:type="fixed"/>
          <w:tblCellMar>
            <w:top w:w="0" w:type="dxa"/>
            <w:left w:w="108" w:type="dxa"/>
            <w:bottom w:w="0" w:type="dxa"/>
            <w:right w:w="108" w:type="dxa"/>
          </w:tblCellMar>
        </w:tblPrEx>
        <w:trPr>
          <w:trHeight w:val="1063" w:hRule="atLeast"/>
        </w:trPr>
        <w:tc>
          <w:tcPr>
            <w:tcW w:w="4587" w:type="dxa"/>
            <w:vAlign w:val="center"/>
          </w:tcPr>
          <w:p>
            <w:pPr>
              <w:spacing w:line="360" w:lineRule="auto"/>
              <w:rPr>
                <w:rFonts w:ascii="仿宋_GB2312" w:eastAsia="仿宋_GB2312"/>
                <w:sz w:val="28"/>
                <w:szCs w:val="28"/>
              </w:rPr>
            </w:pPr>
            <w:r>
              <w:rPr>
                <w:rFonts w:hint="eastAsia" w:ascii="仿宋_GB2312" w:eastAsia="仿宋_GB2312"/>
                <w:sz w:val="28"/>
                <w:szCs w:val="28"/>
              </w:rPr>
              <w:t>甲方：</w:t>
            </w:r>
            <w:r>
              <w:rPr>
                <w:rFonts w:hint="eastAsia" w:ascii="仿宋_GB2312" w:eastAsia="仿宋_GB2312"/>
                <w:sz w:val="28"/>
                <w:szCs w:val="28"/>
                <w:u w:val="single"/>
              </w:rPr>
              <w:t xml:space="preserve">                </w:t>
            </w:r>
            <w:r>
              <w:rPr>
                <w:rFonts w:hint="eastAsia" w:ascii="仿宋_GB2312" w:eastAsia="仿宋_GB2312"/>
                <w:sz w:val="28"/>
                <w:szCs w:val="28"/>
              </w:rPr>
              <w:t xml:space="preserve"> (盖章)</w:t>
            </w:r>
          </w:p>
        </w:tc>
        <w:tc>
          <w:tcPr>
            <w:tcW w:w="4587" w:type="dxa"/>
            <w:vAlign w:val="center"/>
          </w:tcPr>
          <w:p>
            <w:pPr>
              <w:spacing w:line="360" w:lineRule="auto"/>
              <w:rPr>
                <w:rFonts w:ascii="仿宋_GB2312" w:eastAsia="仿宋_GB2312"/>
                <w:sz w:val="28"/>
                <w:szCs w:val="28"/>
              </w:rPr>
            </w:pPr>
            <w:r>
              <w:rPr>
                <w:rFonts w:hint="eastAsia" w:eastAsia="仿宋_GB2312"/>
                <w:sz w:val="28"/>
                <w:szCs w:val="28"/>
              </w:rPr>
              <w:t>乙方</w:t>
            </w:r>
            <w:r>
              <w:rPr>
                <w:rFonts w:hint="eastAsia" w:ascii="仿宋_GB2312" w:eastAsia="仿宋_GB2312"/>
                <w:sz w:val="28"/>
                <w:szCs w:val="28"/>
              </w:rPr>
              <w:t>：</w:t>
            </w:r>
            <w:r>
              <w:rPr>
                <w:rFonts w:hint="eastAsia" w:ascii="仿宋_GB2312" w:eastAsia="仿宋_GB2312"/>
                <w:sz w:val="28"/>
                <w:szCs w:val="28"/>
                <w:u w:val="single"/>
              </w:rPr>
              <w:t xml:space="preserve">                </w:t>
            </w:r>
            <w:r>
              <w:rPr>
                <w:rFonts w:hint="eastAsia" w:ascii="仿宋_GB2312" w:eastAsia="仿宋_GB2312"/>
                <w:sz w:val="28"/>
                <w:szCs w:val="28"/>
              </w:rPr>
              <w:t xml:space="preserve"> (盖章)</w:t>
            </w:r>
          </w:p>
        </w:tc>
      </w:tr>
      <w:tr>
        <w:tblPrEx>
          <w:tblLayout w:type="fixed"/>
          <w:tblCellMar>
            <w:top w:w="0" w:type="dxa"/>
            <w:left w:w="108" w:type="dxa"/>
            <w:bottom w:w="0" w:type="dxa"/>
            <w:right w:w="108" w:type="dxa"/>
          </w:tblCellMar>
        </w:tblPrEx>
        <w:trPr>
          <w:trHeight w:val="1169" w:hRule="atLeast"/>
        </w:trPr>
        <w:tc>
          <w:tcPr>
            <w:tcW w:w="4587" w:type="dxa"/>
            <w:vAlign w:val="center"/>
          </w:tcPr>
          <w:p>
            <w:pPr>
              <w:spacing w:line="360" w:lineRule="auto"/>
              <w:rPr>
                <w:rFonts w:ascii="仿宋_GB2312" w:eastAsia="仿宋_GB2312"/>
                <w:sz w:val="28"/>
                <w:szCs w:val="28"/>
              </w:rPr>
            </w:pPr>
            <w:r>
              <w:rPr>
                <w:rFonts w:hint="eastAsia" w:ascii="仿宋_GB2312" w:eastAsia="仿宋_GB2312"/>
                <w:sz w:val="28"/>
                <w:szCs w:val="28"/>
              </w:rPr>
              <w:t>法定代表人或授权代表(签字)：</w:t>
            </w:r>
          </w:p>
          <w:p>
            <w:pPr>
              <w:spacing w:line="360" w:lineRule="auto"/>
              <w:rPr>
                <w:rFonts w:ascii="仿宋_GB2312" w:eastAsia="仿宋_GB2312"/>
                <w:sz w:val="28"/>
                <w:szCs w:val="28"/>
              </w:rPr>
            </w:pPr>
          </w:p>
        </w:tc>
        <w:tc>
          <w:tcPr>
            <w:tcW w:w="4587" w:type="dxa"/>
            <w:vAlign w:val="center"/>
          </w:tcPr>
          <w:p>
            <w:pPr>
              <w:spacing w:line="360" w:lineRule="auto"/>
              <w:rPr>
                <w:rFonts w:ascii="仿宋_GB2312" w:eastAsia="仿宋_GB2312"/>
                <w:sz w:val="28"/>
                <w:szCs w:val="28"/>
              </w:rPr>
            </w:pPr>
            <w:r>
              <w:rPr>
                <w:rFonts w:hint="eastAsia" w:ascii="仿宋_GB2312" w:eastAsia="仿宋_GB2312"/>
                <w:sz w:val="28"/>
                <w:szCs w:val="28"/>
              </w:rPr>
              <w:t>法定代表人或授权代表(签字)：</w:t>
            </w:r>
          </w:p>
          <w:p>
            <w:pPr>
              <w:spacing w:line="360" w:lineRule="auto"/>
              <w:rPr>
                <w:rFonts w:ascii="仿宋_GB2312" w:eastAsia="仿宋_GB2312"/>
              </w:rPr>
            </w:pPr>
          </w:p>
        </w:tc>
      </w:tr>
      <w:tr>
        <w:tblPrEx>
          <w:tblLayout w:type="fixed"/>
          <w:tblCellMar>
            <w:top w:w="0" w:type="dxa"/>
            <w:left w:w="108" w:type="dxa"/>
            <w:bottom w:w="0" w:type="dxa"/>
            <w:right w:w="108" w:type="dxa"/>
          </w:tblCellMar>
        </w:tblPrEx>
        <w:trPr>
          <w:trHeight w:val="928" w:hRule="atLeast"/>
        </w:trPr>
        <w:tc>
          <w:tcPr>
            <w:tcW w:w="4587" w:type="dxa"/>
            <w:vAlign w:val="center"/>
          </w:tcPr>
          <w:p>
            <w:pPr>
              <w:spacing w:line="360" w:lineRule="auto"/>
              <w:jc w:val="right"/>
              <w:rPr>
                <w:rFonts w:ascii="仿宋_GB2312" w:eastAsia="仿宋_GB2312"/>
                <w:sz w:val="28"/>
                <w:szCs w:val="28"/>
              </w:rPr>
            </w:pP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rPr>
              <w:t>日</w:t>
            </w:r>
          </w:p>
        </w:tc>
        <w:tc>
          <w:tcPr>
            <w:tcW w:w="4587" w:type="dxa"/>
            <w:vAlign w:val="center"/>
          </w:tcPr>
          <w:p>
            <w:pPr>
              <w:spacing w:line="360" w:lineRule="auto"/>
              <w:jc w:val="right"/>
              <w:rPr>
                <w:rFonts w:ascii="仿宋_GB2312" w:eastAsia="仿宋_GB2312"/>
                <w:sz w:val="28"/>
                <w:szCs w:val="28"/>
              </w:rPr>
            </w:pP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rPr>
              <w:t>日</w:t>
            </w:r>
          </w:p>
        </w:tc>
      </w:tr>
    </w:tbl>
    <w:p>
      <w:pPr>
        <w:adjustRightInd w:val="0"/>
        <w:snapToGrid w:val="0"/>
        <w:spacing w:line="560" w:lineRule="exact"/>
        <w:jc w:val="left"/>
        <w:rPr>
          <w:rFonts w:hint="eastAsia" w:ascii="黑体" w:hAnsi="黑体" w:eastAsia="黑体" w:cs="黑体"/>
          <w:sz w:val="32"/>
          <w:szCs w:val="32"/>
          <w:highlight w:val="none"/>
        </w:rPr>
        <w:sectPr>
          <w:pgSz w:w="11906" w:h="16838"/>
          <w:pgMar w:top="2098" w:right="1474" w:bottom="1985" w:left="1588" w:header="851" w:footer="1247" w:gutter="0"/>
          <w:pgNumType w:fmt="numberInDash"/>
          <w:cols w:space="425" w:num="1"/>
          <w:docGrid w:type="lines" w:linePitch="312" w:charSpace="0"/>
        </w:sectPr>
      </w:pPr>
    </w:p>
    <w:p>
      <w:pPr>
        <w:adjustRightInd w:val="0"/>
        <w:snapToGrid w:val="0"/>
        <w:spacing w:line="560" w:lineRule="exact"/>
        <w:jc w:val="left"/>
        <w:rPr>
          <w:rFonts w:ascii="黑体" w:hAnsi="黑体" w:eastAsia="黑体" w:cs="黑体"/>
          <w:sz w:val="32"/>
          <w:szCs w:val="32"/>
          <w:highlight w:val="none"/>
        </w:rPr>
      </w:pPr>
      <w:r>
        <w:rPr>
          <w:rFonts w:hint="eastAsia" w:ascii="黑体" w:hAnsi="黑体" w:eastAsia="黑体" w:cs="黑体"/>
          <w:sz w:val="32"/>
          <w:szCs w:val="32"/>
          <w:highlight w:val="none"/>
        </w:rPr>
        <w:t>附件4</w:t>
      </w:r>
    </w:p>
    <w:p>
      <w:pPr>
        <w:adjustRightInd w:val="0"/>
        <w:snapToGrid w:val="0"/>
        <w:spacing w:line="560" w:lineRule="exact"/>
        <w:jc w:val="center"/>
        <w:rPr>
          <w:rFonts w:ascii="方正小标宋简体" w:eastAsia="方正小标宋简体"/>
          <w:sz w:val="44"/>
          <w:szCs w:val="44"/>
          <w:highlight w:val="none"/>
        </w:rPr>
      </w:pPr>
      <w:r>
        <w:rPr>
          <w:rFonts w:hint="eastAsia" w:ascii="方正小标宋简体" w:eastAsia="方正小标宋简体"/>
          <w:sz w:val="44"/>
          <w:szCs w:val="44"/>
          <w:highlight w:val="none"/>
        </w:rPr>
        <w:t>崇明区农业农村财政性资产确认单</w:t>
      </w:r>
    </w:p>
    <w:p>
      <w:pPr>
        <w:adjustRightInd w:val="0"/>
        <w:snapToGrid w:val="0"/>
        <w:spacing w:line="560" w:lineRule="exact"/>
        <w:jc w:val="center"/>
        <w:rPr>
          <w:rFonts w:ascii="方正小标宋简体" w:eastAsia="方正小标宋简体"/>
          <w:sz w:val="44"/>
          <w:szCs w:val="44"/>
        </w:rPr>
      </w:pPr>
      <w:r>
        <w:rPr>
          <w:rFonts w:hint="eastAsia" w:ascii="仿宋_GB2312" w:eastAsia="仿宋_GB2312"/>
          <w:sz w:val="32"/>
          <w:szCs w:val="32"/>
        </w:rPr>
        <w:t>（样表）</w:t>
      </w:r>
    </w:p>
    <w:tbl>
      <w:tblPr>
        <w:tblStyle w:val="7"/>
        <w:tblW w:w="87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8"/>
        <w:gridCol w:w="1236"/>
        <w:gridCol w:w="1068"/>
        <w:gridCol w:w="1128"/>
        <w:gridCol w:w="1236"/>
        <w:gridCol w:w="1200"/>
        <w:gridCol w:w="1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jc w:val="center"/>
        </w:trPr>
        <w:tc>
          <w:tcPr>
            <w:tcW w:w="1688" w:type="dxa"/>
            <w:vAlign w:val="center"/>
          </w:tcPr>
          <w:p>
            <w:pPr>
              <w:jc w:val="center"/>
              <w:rPr>
                <w:rFonts w:ascii="黑体" w:hAnsi="黑体" w:eastAsia="黑体" w:cs="黑体"/>
                <w:sz w:val="24"/>
              </w:rPr>
            </w:pPr>
            <w:r>
              <w:rPr>
                <w:rFonts w:hint="eastAsia" w:ascii="黑体" w:hAnsi="黑体" w:eastAsia="黑体" w:cs="黑体"/>
                <w:sz w:val="24"/>
              </w:rPr>
              <w:t>项目名称</w:t>
            </w:r>
          </w:p>
        </w:tc>
        <w:tc>
          <w:tcPr>
            <w:tcW w:w="7092" w:type="dxa"/>
            <w:gridSpan w:val="6"/>
            <w:vAlign w:val="center"/>
          </w:tcPr>
          <w:p>
            <w:pPr>
              <w:jc w:val="center"/>
              <w:rPr>
                <w:rFonts w:ascii="黑体" w:hAnsi="黑体" w:eastAsia="黑体" w:cs="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8780" w:type="dxa"/>
            <w:gridSpan w:val="7"/>
            <w:vAlign w:val="center"/>
          </w:tcPr>
          <w:p>
            <w:pPr>
              <w:jc w:val="center"/>
              <w:rPr>
                <w:rFonts w:ascii="黑体" w:hAnsi="黑体" w:eastAsia="黑体" w:cs="黑体"/>
                <w:sz w:val="24"/>
              </w:rPr>
            </w:pPr>
            <w:r>
              <w:rPr>
                <w:rFonts w:hint="eastAsia" w:ascii="黑体" w:hAnsi="黑体" w:eastAsia="黑体" w:cs="黑体"/>
                <w:sz w:val="24"/>
              </w:rPr>
              <w:t>财政性资产明细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5" w:hRule="atLeast"/>
          <w:jc w:val="center"/>
        </w:trPr>
        <w:tc>
          <w:tcPr>
            <w:tcW w:w="1688" w:type="dxa"/>
            <w:vMerge w:val="restart"/>
            <w:vAlign w:val="center"/>
          </w:tcPr>
          <w:p>
            <w:pPr>
              <w:ind w:firstLine="240" w:firstLineChars="100"/>
              <w:rPr>
                <w:rFonts w:ascii="黑体" w:hAnsi="黑体" w:eastAsia="黑体" w:cs="黑体"/>
                <w:sz w:val="24"/>
              </w:rPr>
            </w:pPr>
            <w:r>
              <w:rPr>
                <w:rFonts w:hint="eastAsia" w:ascii="黑体" w:hAnsi="黑体" w:eastAsia="黑体" w:cs="黑体"/>
                <w:sz w:val="24"/>
              </w:rPr>
              <w:t>资产名称</w:t>
            </w:r>
          </w:p>
        </w:tc>
        <w:tc>
          <w:tcPr>
            <w:tcW w:w="1236" w:type="dxa"/>
            <w:vMerge w:val="restart"/>
            <w:vAlign w:val="center"/>
          </w:tcPr>
          <w:p>
            <w:pPr>
              <w:jc w:val="center"/>
              <w:rPr>
                <w:rFonts w:ascii="黑体" w:hAnsi="黑体" w:eastAsia="黑体" w:cs="黑体"/>
                <w:sz w:val="24"/>
              </w:rPr>
            </w:pPr>
            <w:r>
              <w:rPr>
                <w:rFonts w:hint="eastAsia" w:ascii="黑体" w:hAnsi="黑体" w:eastAsia="黑体" w:cs="黑体"/>
                <w:sz w:val="24"/>
              </w:rPr>
              <w:t>资产金额</w:t>
            </w:r>
          </w:p>
        </w:tc>
        <w:tc>
          <w:tcPr>
            <w:tcW w:w="1068" w:type="dxa"/>
            <w:vMerge w:val="restart"/>
            <w:vAlign w:val="center"/>
          </w:tcPr>
          <w:p>
            <w:pPr>
              <w:tabs>
                <w:tab w:val="left" w:pos="391"/>
              </w:tabs>
              <w:ind w:firstLine="240" w:firstLineChars="100"/>
              <w:jc w:val="left"/>
              <w:rPr>
                <w:rFonts w:ascii="黑体" w:hAnsi="黑体" w:eastAsia="黑体" w:cs="黑体"/>
                <w:sz w:val="24"/>
              </w:rPr>
            </w:pPr>
            <w:r>
              <w:rPr>
                <w:rFonts w:hint="eastAsia" w:ascii="黑体" w:hAnsi="黑体" w:eastAsia="黑体" w:cs="黑体"/>
                <w:sz w:val="24"/>
              </w:rPr>
              <w:t>其中</w:t>
            </w:r>
          </w:p>
        </w:tc>
        <w:tc>
          <w:tcPr>
            <w:tcW w:w="112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4"/>
                <w:lang w:eastAsia="zh-CN"/>
              </w:rPr>
            </w:pPr>
            <w:r>
              <w:rPr>
                <w:rFonts w:hint="eastAsia" w:ascii="黑体" w:hAnsi="黑体" w:eastAsia="黑体" w:cs="黑体"/>
                <w:sz w:val="24"/>
              </w:rPr>
              <w:t>财政资金占</w:t>
            </w:r>
            <w:r>
              <w:rPr>
                <w:rFonts w:hint="eastAsia" w:ascii="黑体" w:hAnsi="黑体" w:eastAsia="黑体" w:cs="黑体"/>
                <w:sz w:val="24"/>
                <w:lang w:eastAsia="zh-CN"/>
              </w:rPr>
              <w:t>比</w:t>
            </w:r>
          </w:p>
        </w:tc>
        <w:tc>
          <w:tcPr>
            <w:tcW w:w="123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黑体" w:hAnsi="黑体" w:eastAsia="黑体" w:cs="黑体"/>
                <w:sz w:val="24"/>
              </w:rPr>
            </w:pPr>
            <w:r>
              <w:rPr>
                <w:rFonts w:hint="eastAsia" w:ascii="黑体" w:hAnsi="黑体" w:eastAsia="黑体" w:cs="黑体"/>
                <w:sz w:val="24"/>
              </w:rPr>
              <w:t>自筹资金占比</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黑体" w:hAnsi="黑体" w:eastAsia="黑体" w:cs="黑体"/>
                <w:sz w:val="24"/>
              </w:rPr>
            </w:pPr>
            <w:r>
              <w:rPr>
                <w:rFonts w:hint="eastAsia" w:ascii="黑体" w:hAnsi="黑体" w:eastAsia="黑体" w:cs="黑体"/>
                <w:sz w:val="24"/>
              </w:rPr>
              <w:t>财政资金确权额</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黑体" w:hAnsi="黑体" w:eastAsia="黑体" w:cs="黑体"/>
                <w:sz w:val="24"/>
              </w:rPr>
            </w:pPr>
            <w:r>
              <w:rPr>
                <w:rFonts w:hint="eastAsia" w:ascii="黑体" w:hAnsi="黑体" w:eastAsia="黑体" w:cs="黑体"/>
                <w:sz w:val="24"/>
              </w:rPr>
              <w:t>自筹资金确权额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88" w:type="dxa"/>
            <w:vMerge w:val="continue"/>
            <w:vAlign w:val="center"/>
          </w:tcPr>
          <w:p>
            <w:pPr>
              <w:rPr>
                <w:rFonts w:ascii="黑体" w:hAnsi="黑体" w:eastAsia="黑体" w:cs="黑体"/>
                <w:sz w:val="24"/>
              </w:rPr>
            </w:pPr>
          </w:p>
        </w:tc>
        <w:tc>
          <w:tcPr>
            <w:tcW w:w="1236" w:type="dxa"/>
            <w:vMerge w:val="continue"/>
            <w:vAlign w:val="center"/>
          </w:tcPr>
          <w:p>
            <w:pPr>
              <w:rPr>
                <w:rFonts w:ascii="黑体" w:hAnsi="黑体" w:eastAsia="黑体" w:cs="黑体"/>
                <w:sz w:val="24"/>
              </w:rPr>
            </w:pPr>
          </w:p>
        </w:tc>
        <w:tc>
          <w:tcPr>
            <w:tcW w:w="1068" w:type="dxa"/>
            <w:vMerge w:val="continue"/>
            <w:vAlign w:val="center"/>
          </w:tcPr>
          <w:p>
            <w:pPr>
              <w:rPr>
                <w:rFonts w:ascii="黑体" w:hAnsi="黑体" w:eastAsia="黑体" w:cs="黑体"/>
                <w:sz w:val="24"/>
              </w:rPr>
            </w:pPr>
          </w:p>
        </w:tc>
        <w:tc>
          <w:tcPr>
            <w:tcW w:w="1128" w:type="dxa"/>
            <w:vAlign w:val="center"/>
          </w:tcPr>
          <w:p>
            <w:pPr>
              <w:rPr>
                <w:rFonts w:ascii="黑体" w:hAnsi="黑体" w:eastAsia="黑体" w:cs="黑体"/>
                <w:sz w:val="24"/>
              </w:rPr>
            </w:pPr>
          </w:p>
        </w:tc>
        <w:tc>
          <w:tcPr>
            <w:tcW w:w="1236" w:type="dxa"/>
            <w:vAlign w:val="center"/>
          </w:tcPr>
          <w:p>
            <w:pPr>
              <w:rPr>
                <w:rFonts w:ascii="黑体" w:hAnsi="黑体" w:eastAsia="黑体" w:cs="黑体"/>
                <w:sz w:val="24"/>
              </w:rPr>
            </w:pPr>
          </w:p>
        </w:tc>
        <w:tc>
          <w:tcPr>
            <w:tcW w:w="1200" w:type="dxa"/>
            <w:vAlign w:val="center"/>
          </w:tcPr>
          <w:p>
            <w:pPr>
              <w:rPr>
                <w:rFonts w:ascii="黑体" w:hAnsi="黑体" w:eastAsia="黑体" w:cs="黑体"/>
                <w:sz w:val="24"/>
              </w:rPr>
            </w:pPr>
          </w:p>
        </w:tc>
        <w:tc>
          <w:tcPr>
            <w:tcW w:w="1224" w:type="dxa"/>
            <w:vAlign w:val="center"/>
          </w:tcPr>
          <w:p>
            <w:pPr>
              <w:rPr>
                <w:rFonts w:ascii="黑体" w:hAnsi="黑体" w:eastAsia="黑体" w:cs="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4" w:hRule="atLeast"/>
          <w:jc w:val="center"/>
        </w:trPr>
        <w:tc>
          <w:tcPr>
            <w:tcW w:w="1688" w:type="dxa"/>
            <w:vAlign w:val="center"/>
          </w:tcPr>
          <w:p>
            <w:pPr>
              <w:rPr>
                <w:rFonts w:ascii="黑体" w:hAnsi="黑体" w:eastAsia="黑体" w:cs="黑体"/>
                <w:sz w:val="24"/>
              </w:rPr>
            </w:pPr>
          </w:p>
        </w:tc>
        <w:tc>
          <w:tcPr>
            <w:tcW w:w="1236" w:type="dxa"/>
            <w:vAlign w:val="center"/>
          </w:tcPr>
          <w:p>
            <w:pPr>
              <w:rPr>
                <w:rFonts w:ascii="黑体" w:hAnsi="黑体" w:eastAsia="黑体" w:cs="黑体"/>
                <w:sz w:val="24"/>
              </w:rPr>
            </w:pPr>
          </w:p>
        </w:tc>
        <w:tc>
          <w:tcPr>
            <w:tcW w:w="1068" w:type="dxa"/>
            <w:vAlign w:val="center"/>
          </w:tcPr>
          <w:p>
            <w:pPr>
              <w:rPr>
                <w:rFonts w:ascii="黑体" w:hAnsi="黑体" w:eastAsia="黑体" w:cs="黑体"/>
                <w:sz w:val="24"/>
              </w:rPr>
            </w:pPr>
          </w:p>
        </w:tc>
        <w:tc>
          <w:tcPr>
            <w:tcW w:w="1128" w:type="dxa"/>
            <w:vAlign w:val="center"/>
          </w:tcPr>
          <w:p>
            <w:pPr>
              <w:rPr>
                <w:rFonts w:ascii="黑体" w:hAnsi="黑体" w:eastAsia="黑体" w:cs="黑体"/>
                <w:sz w:val="24"/>
              </w:rPr>
            </w:pPr>
          </w:p>
        </w:tc>
        <w:tc>
          <w:tcPr>
            <w:tcW w:w="1236" w:type="dxa"/>
            <w:vAlign w:val="center"/>
          </w:tcPr>
          <w:p>
            <w:pPr>
              <w:rPr>
                <w:rFonts w:ascii="黑体" w:hAnsi="黑体" w:eastAsia="黑体" w:cs="黑体"/>
                <w:sz w:val="24"/>
              </w:rPr>
            </w:pPr>
          </w:p>
        </w:tc>
        <w:tc>
          <w:tcPr>
            <w:tcW w:w="1200" w:type="dxa"/>
            <w:vAlign w:val="center"/>
          </w:tcPr>
          <w:p>
            <w:pPr>
              <w:rPr>
                <w:rFonts w:ascii="黑体" w:hAnsi="黑体" w:eastAsia="黑体" w:cs="黑体"/>
                <w:sz w:val="24"/>
              </w:rPr>
            </w:pPr>
          </w:p>
        </w:tc>
        <w:tc>
          <w:tcPr>
            <w:tcW w:w="1224" w:type="dxa"/>
            <w:vAlign w:val="center"/>
          </w:tcPr>
          <w:p>
            <w:pPr>
              <w:rPr>
                <w:rFonts w:ascii="黑体" w:hAnsi="黑体" w:eastAsia="黑体" w:cs="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8" w:hRule="atLeast"/>
          <w:jc w:val="center"/>
        </w:trPr>
        <w:tc>
          <w:tcPr>
            <w:tcW w:w="1688" w:type="dxa"/>
            <w:vAlign w:val="center"/>
          </w:tcPr>
          <w:p>
            <w:pPr>
              <w:jc w:val="center"/>
              <w:rPr>
                <w:rFonts w:ascii="黑体" w:hAnsi="黑体" w:eastAsia="黑体" w:cs="黑体"/>
                <w:sz w:val="24"/>
              </w:rPr>
            </w:pPr>
            <w:r>
              <w:rPr>
                <w:rFonts w:hint="eastAsia" w:ascii="黑体" w:hAnsi="黑体" w:eastAsia="黑体" w:cs="黑体"/>
                <w:sz w:val="24"/>
              </w:rPr>
              <w:t>合计</w:t>
            </w:r>
          </w:p>
        </w:tc>
        <w:tc>
          <w:tcPr>
            <w:tcW w:w="1236" w:type="dxa"/>
            <w:vAlign w:val="center"/>
          </w:tcPr>
          <w:p>
            <w:pPr>
              <w:rPr>
                <w:rFonts w:ascii="黑体" w:hAnsi="黑体" w:eastAsia="黑体" w:cs="黑体"/>
                <w:sz w:val="24"/>
              </w:rPr>
            </w:pPr>
          </w:p>
        </w:tc>
        <w:tc>
          <w:tcPr>
            <w:tcW w:w="1068" w:type="dxa"/>
            <w:vAlign w:val="center"/>
          </w:tcPr>
          <w:p>
            <w:pPr>
              <w:rPr>
                <w:rFonts w:ascii="黑体" w:hAnsi="黑体" w:eastAsia="黑体" w:cs="黑体"/>
                <w:sz w:val="24"/>
              </w:rPr>
            </w:pPr>
          </w:p>
        </w:tc>
        <w:tc>
          <w:tcPr>
            <w:tcW w:w="1128" w:type="dxa"/>
            <w:vAlign w:val="center"/>
          </w:tcPr>
          <w:p>
            <w:pPr>
              <w:rPr>
                <w:rFonts w:ascii="黑体" w:hAnsi="黑体" w:eastAsia="黑体" w:cs="黑体"/>
                <w:sz w:val="24"/>
              </w:rPr>
            </w:pPr>
          </w:p>
        </w:tc>
        <w:tc>
          <w:tcPr>
            <w:tcW w:w="1236" w:type="dxa"/>
            <w:vAlign w:val="center"/>
          </w:tcPr>
          <w:p>
            <w:pPr>
              <w:rPr>
                <w:rFonts w:ascii="黑体" w:hAnsi="黑体" w:eastAsia="黑体" w:cs="黑体"/>
                <w:sz w:val="24"/>
              </w:rPr>
            </w:pPr>
          </w:p>
        </w:tc>
        <w:tc>
          <w:tcPr>
            <w:tcW w:w="1200" w:type="dxa"/>
            <w:vAlign w:val="center"/>
          </w:tcPr>
          <w:p>
            <w:pPr>
              <w:rPr>
                <w:rFonts w:ascii="黑体" w:hAnsi="黑体" w:eastAsia="黑体" w:cs="黑体"/>
                <w:sz w:val="24"/>
              </w:rPr>
            </w:pPr>
          </w:p>
        </w:tc>
        <w:tc>
          <w:tcPr>
            <w:tcW w:w="1224" w:type="dxa"/>
            <w:vAlign w:val="center"/>
          </w:tcPr>
          <w:p>
            <w:pPr>
              <w:rPr>
                <w:rFonts w:ascii="黑体" w:hAnsi="黑体" w:eastAsia="黑体" w:cs="黑体"/>
                <w:sz w:val="24"/>
              </w:rPr>
            </w:pPr>
          </w:p>
        </w:tc>
      </w:tr>
    </w:tbl>
    <w:p>
      <w:pPr>
        <w:spacing w:line="560" w:lineRule="exact"/>
        <w:ind w:right="561" w:firstLine="640" w:firstLineChars="200"/>
        <w:rPr>
          <w:rFonts w:ascii="仿宋_GB2312" w:eastAsia="仿宋_GB2312"/>
          <w:sz w:val="32"/>
          <w:szCs w:val="32"/>
        </w:rPr>
      </w:pPr>
      <w:r>
        <w:rPr>
          <w:rFonts w:hint="eastAsia" w:ascii="仿宋_GB2312" w:eastAsia="仿宋_GB2312"/>
          <w:sz w:val="32"/>
          <w:szCs w:val="32"/>
        </w:rPr>
        <w:t>以上资产于202</w:t>
      </w:r>
      <w:r>
        <w:rPr>
          <w:rFonts w:hint="eastAsia" w:ascii="仿宋_GB2312" w:eastAsia="仿宋_GB2312"/>
          <w:sz w:val="32"/>
          <w:szCs w:val="32"/>
          <w:u w:val="single"/>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rPr>
        <w:t>日通过验收。请根据本确认单上自筹资金确权额与实际自筹资金上缴额进行比对确认。</w:t>
      </w:r>
    </w:p>
    <w:p>
      <w:pPr>
        <w:spacing w:line="560" w:lineRule="exact"/>
        <w:ind w:right="561" w:firstLine="640" w:firstLineChars="200"/>
        <w:rPr>
          <w:rFonts w:ascii="仿宋_GB2312" w:eastAsia="仿宋_GB2312"/>
          <w:sz w:val="32"/>
          <w:szCs w:val="32"/>
        </w:rPr>
      </w:pPr>
      <w:r>
        <w:rPr>
          <w:rFonts w:hint="eastAsia" w:ascii="仿宋_GB2312" w:eastAsia="仿宋_GB2312"/>
          <w:sz w:val="32"/>
          <w:szCs w:val="32"/>
        </w:rPr>
        <w:t xml:space="preserve">   </w:t>
      </w:r>
    </w:p>
    <w:p>
      <w:pPr>
        <w:spacing w:line="560" w:lineRule="exact"/>
        <w:ind w:right="561" w:firstLine="640" w:firstLineChars="200"/>
        <w:rPr>
          <w:rFonts w:ascii="仿宋_GB2312" w:eastAsia="仿宋_GB2312"/>
          <w:sz w:val="32"/>
          <w:szCs w:val="32"/>
        </w:rPr>
      </w:pPr>
      <w:r>
        <w:rPr>
          <w:rFonts w:hint="eastAsia" w:ascii="仿宋_GB2312" w:eastAsia="仿宋_GB2312"/>
          <w:sz w:val="32"/>
          <w:szCs w:val="32"/>
        </w:rPr>
        <w:t xml:space="preserve">                                 XX镇人民政府</w:t>
      </w:r>
    </w:p>
    <w:p>
      <w:pPr>
        <w:spacing w:line="560" w:lineRule="exact"/>
        <w:ind w:right="561" w:firstLine="2880" w:firstLineChars="900"/>
        <w:rPr>
          <w:rFonts w:ascii="仿宋_GB2312" w:eastAsia="仿宋_GB2312"/>
          <w:sz w:val="32"/>
          <w:szCs w:val="32"/>
        </w:rPr>
      </w:pPr>
      <w:r>
        <w:rPr>
          <w:rFonts w:hint="eastAsia" w:ascii="仿宋_GB2312" w:eastAsia="仿宋_GB2312"/>
          <w:sz w:val="32"/>
          <w:szCs w:val="32"/>
        </w:rPr>
        <w:t xml:space="preserve">                     负责人：</w:t>
      </w:r>
    </w:p>
    <w:p>
      <w:pPr>
        <w:spacing w:line="560" w:lineRule="exact"/>
        <w:ind w:right="561" w:firstLine="3520" w:firstLineChars="1100"/>
        <w:rPr>
          <w:rFonts w:ascii="仿宋_GB2312" w:eastAsia="仿宋_GB2312"/>
          <w:sz w:val="32"/>
          <w:szCs w:val="32"/>
        </w:rPr>
      </w:pPr>
      <w:r>
        <w:rPr>
          <w:rFonts w:hint="eastAsia" w:ascii="仿宋_GB2312" w:eastAsia="仿宋_GB2312"/>
          <w:sz w:val="32"/>
          <w:szCs w:val="32"/>
        </w:rPr>
        <w:t xml:space="preserve">                 年  月   日</w:t>
      </w:r>
    </w:p>
    <w:p>
      <w:pPr>
        <w:spacing w:line="560" w:lineRule="exact"/>
        <w:ind w:right="561" w:firstLine="640" w:firstLineChars="200"/>
        <w:rPr>
          <w:rFonts w:ascii="仿宋_GB2312" w:eastAsia="仿宋_GB2312"/>
          <w:sz w:val="32"/>
          <w:szCs w:val="32"/>
        </w:rPr>
      </w:pPr>
      <w:r>
        <w:rPr>
          <w:rFonts w:hint="eastAsia" w:ascii="仿宋_GB2312" w:eastAsia="仿宋_GB2312"/>
          <w:sz w:val="32"/>
          <w:szCs w:val="32"/>
        </w:rPr>
        <w:t>本单位对上述资产的资产确权额无异议。</w:t>
      </w:r>
    </w:p>
    <w:p>
      <w:pPr>
        <w:spacing w:line="560" w:lineRule="exact"/>
        <w:ind w:right="561" w:firstLine="640" w:firstLineChars="200"/>
        <w:rPr>
          <w:rFonts w:ascii="仿宋_GB2312" w:eastAsia="仿宋_GB2312"/>
          <w:sz w:val="32"/>
          <w:szCs w:val="32"/>
        </w:rPr>
      </w:pPr>
      <w:r>
        <w:rPr>
          <w:rFonts w:hint="eastAsia" w:ascii="仿宋_GB2312" w:eastAsia="仿宋_GB2312"/>
          <w:sz w:val="32"/>
          <w:szCs w:val="32"/>
        </w:rPr>
        <w:t xml:space="preserve">                                   XX单位</w:t>
      </w:r>
    </w:p>
    <w:p>
      <w:pPr>
        <w:spacing w:line="560" w:lineRule="exact"/>
        <w:ind w:right="561" w:firstLine="640" w:firstLineChars="200"/>
        <w:rPr>
          <w:rFonts w:ascii="仿宋_GB2312" w:eastAsia="仿宋_GB2312"/>
          <w:sz w:val="32"/>
          <w:szCs w:val="32"/>
        </w:rPr>
      </w:pPr>
      <w:r>
        <w:rPr>
          <w:rFonts w:hint="eastAsia" w:ascii="仿宋_GB2312" w:eastAsia="仿宋_GB2312"/>
          <w:sz w:val="32"/>
          <w:szCs w:val="32"/>
        </w:rPr>
        <w:t xml:space="preserve">                                   负责人：</w:t>
      </w:r>
    </w:p>
    <w:p>
      <w:pPr>
        <w:spacing w:line="560" w:lineRule="exact"/>
        <w:ind w:right="561" w:firstLine="3520" w:firstLineChars="1100"/>
        <w:rPr>
          <w:rFonts w:hint="eastAsia" w:ascii="仿宋_GB2312" w:eastAsia="仿宋_GB2312"/>
          <w:sz w:val="32"/>
          <w:szCs w:val="32"/>
        </w:rPr>
      </w:pPr>
      <w:r>
        <w:rPr>
          <w:rFonts w:hint="eastAsia" w:ascii="仿宋_GB2312" w:eastAsia="仿宋_GB2312"/>
          <w:sz w:val="32"/>
          <w:szCs w:val="32"/>
        </w:rPr>
        <w:t xml:space="preserve">                 年  月   日      </w:t>
      </w:r>
    </w:p>
    <w:p>
      <w:pPr>
        <w:wordWrap/>
        <w:spacing w:line="560" w:lineRule="exact"/>
        <w:ind w:right="561" w:firstLine="560" w:firstLineChars="200"/>
        <w:jc w:val="left"/>
        <w:rPr>
          <w:rFonts w:hint="eastAsia" w:ascii="黑体" w:hAnsi="黑体" w:eastAsia="黑体" w:cs="黑体"/>
          <w:sz w:val="32"/>
          <w:szCs w:val="32"/>
          <w:highlight w:val="none"/>
          <w:lang w:val="en-US" w:eastAsia="zh-CN"/>
        </w:rPr>
      </w:pPr>
      <w:r>
        <w:rPr>
          <w:rFonts w:hint="eastAsia" w:ascii="楷体_GB2312" w:hAnsi="楷体_GB2312" w:eastAsia="楷体_GB2312" w:cs="楷体_GB2312"/>
          <w:sz w:val="28"/>
          <w:szCs w:val="28"/>
          <w:highlight w:val="none"/>
          <w:lang w:eastAsia="zh-CN"/>
        </w:rPr>
        <w:t>（本确认单一式两份，双方各执一份）</w:t>
      </w:r>
    </w:p>
    <w:sectPr>
      <w:pgSz w:w="11906" w:h="16838"/>
      <w:pgMar w:top="2098" w:right="1474" w:bottom="1985" w:left="1588" w:header="851" w:footer="124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270"/>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sdt>
                          <w:sdtPr>
                            <w:id w:val="26639633"/>
                          </w:sdtPr>
                          <w:sdtContent>
                            <w:p>
                              <w:pPr>
                                <w:pStyle w:val="4"/>
                                <w:ind w:right="270"/>
                                <w:jc w:val="right"/>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7 -</w:t>
                              </w:r>
                              <w:r>
                                <w:rPr>
                                  <w:rFonts w:asciiTheme="minorEastAsia" w:hAnsiTheme="minorEastAsia" w:eastAsiaTheme="minorEastAsia"/>
                                  <w:sz w:val="28"/>
                                  <w:szCs w:val="28"/>
                                </w:rP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sdt>
                    <w:sdtPr>
                      <w:id w:val="26639633"/>
                    </w:sdtPr>
                    <w:sdtContent>
                      <w:p>
                        <w:pPr>
                          <w:pStyle w:val="4"/>
                          <w:ind w:right="270"/>
                          <w:jc w:val="right"/>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7 -</w:t>
                        </w:r>
                        <w:r>
                          <w:rPr>
                            <w:rFonts w:asciiTheme="minorEastAsia" w:hAnsiTheme="minorEastAsia" w:eastAsiaTheme="minorEastAsia"/>
                            <w:sz w:val="28"/>
                            <w:szCs w:val="28"/>
                          </w:rPr>
                          <w:fldChar w:fldCharType="end"/>
                        </w:r>
                      </w:p>
                    </w:sdtContent>
                  </w:sdt>
                  <w:p/>
                </w:txbxContent>
              </v:textbox>
            </v:shape>
          </w:pict>
        </mc:Fallback>
      </mc:AlternateContent>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180" w:firstLineChars="10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- 6 -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4bVggbAgAAIQQAAA4A&#10;AAAAAAAAAQAgAAAAHwEAAGRycy9lMm9Eb2MueG1sUEsFBgAAAAAGAAYAWQEAAKwFAAAAAA==&#10;">
              <v:fill on="f" focussize="0,0"/>
              <v:stroke on="f" weight="0.5pt"/>
              <v:imagedata o:title=""/>
              <o:lock v:ext="edit" aspectratio="f"/>
              <v:textbox inset="0mm,0mm,0mm,0mm" style="mso-fit-shape-to-text:t;">
                <w:txbxContent>
                  <w:p>
                    <w:pPr>
                      <w:pStyle w:val="4"/>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- 6 -</w:t>
                    </w:r>
                    <w:r>
                      <w:rPr>
                        <w:rFonts w:hint="eastAsia" w:ascii="宋体" w:hAnsi="宋体" w:cs="宋体"/>
                        <w:sz w:val="28"/>
                        <w:szCs w:val="28"/>
                      </w:rPr>
                      <w:fldChar w:fldCharType="end"/>
                    </w:r>
                  </w:p>
                </w:txbxContent>
              </v:textbox>
            </v:shape>
          </w:pict>
        </mc:Fallback>
      </mc:AlternateContent>
    </w:r>
    <w:sdt>
      <w:sdtPr>
        <w:id w:val="26639632"/>
      </w:sdtPr>
      <w:sdtContent/>
    </w:sdt>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270"/>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sdt>
                          <w:sdtPr>
                            <w:id w:val="26639633"/>
                          </w:sdtPr>
                          <w:sdtContent>
                            <w:p>
                              <w:pPr>
                                <w:pStyle w:val="4"/>
                                <w:ind w:right="270"/>
                                <w:jc w:val="right"/>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7 -</w:t>
                              </w:r>
                              <w:r>
                                <w:rPr>
                                  <w:rFonts w:asciiTheme="minorEastAsia" w:hAnsiTheme="minorEastAsia" w:eastAsiaTheme="minorEastAsia"/>
                                  <w:sz w:val="28"/>
                                  <w:szCs w:val="28"/>
                                </w:rP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sdt>
                    <w:sdtPr>
                      <w:id w:val="26639633"/>
                    </w:sdtPr>
                    <w:sdtContent>
                      <w:p>
                        <w:pPr>
                          <w:pStyle w:val="4"/>
                          <w:ind w:right="270"/>
                          <w:jc w:val="right"/>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7 -</w:t>
                        </w:r>
                        <w:r>
                          <w:rPr>
                            <w:rFonts w:asciiTheme="minorEastAsia" w:hAnsiTheme="minorEastAsia" w:eastAsiaTheme="minorEastAsia"/>
                            <w:sz w:val="28"/>
                            <w:szCs w:val="28"/>
                          </w:rPr>
                          <w:fldChar w:fldCharType="end"/>
                        </w:r>
                      </w:p>
                    </w:sdtContent>
                  </w:sdt>
                  <w:p/>
                </w:txbxContent>
              </v:textbox>
            </v:shape>
          </w:pict>
        </mc:Fallback>
      </mc:AlternateContent>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3NDI0NDgyMDBmZDAwNTY2MjY2NTgxZThlNTNlZmQifQ=="/>
  </w:docVars>
  <w:rsids>
    <w:rsidRoot w:val="073175FB"/>
    <w:rsid w:val="0017381D"/>
    <w:rsid w:val="00242867"/>
    <w:rsid w:val="00265668"/>
    <w:rsid w:val="00294071"/>
    <w:rsid w:val="004F218C"/>
    <w:rsid w:val="005428C6"/>
    <w:rsid w:val="00554416"/>
    <w:rsid w:val="006A6517"/>
    <w:rsid w:val="00765E33"/>
    <w:rsid w:val="00DD54FD"/>
    <w:rsid w:val="00EB7CB0"/>
    <w:rsid w:val="031F6430"/>
    <w:rsid w:val="073175FB"/>
    <w:rsid w:val="07EF5921"/>
    <w:rsid w:val="09581832"/>
    <w:rsid w:val="0A8F78AE"/>
    <w:rsid w:val="0B482923"/>
    <w:rsid w:val="0E866337"/>
    <w:rsid w:val="0F6C6355"/>
    <w:rsid w:val="120F6515"/>
    <w:rsid w:val="147646F9"/>
    <w:rsid w:val="18985C69"/>
    <w:rsid w:val="1CE56406"/>
    <w:rsid w:val="1EE7E2BF"/>
    <w:rsid w:val="2D0C012D"/>
    <w:rsid w:val="3095454C"/>
    <w:rsid w:val="375926A4"/>
    <w:rsid w:val="3FDE2BF2"/>
    <w:rsid w:val="3FFF751B"/>
    <w:rsid w:val="3FFF9AFC"/>
    <w:rsid w:val="3FFFEEFF"/>
    <w:rsid w:val="43EB7FAC"/>
    <w:rsid w:val="448B3E68"/>
    <w:rsid w:val="50973BAB"/>
    <w:rsid w:val="52383978"/>
    <w:rsid w:val="55B109BA"/>
    <w:rsid w:val="583730CE"/>
    <w:rsid w:val="5B386F75"/>
    <w:rsid w:val="5FD6A17B"/>
    <w:rsid w:val="5FFF9634"/>
    <w:rsid w:val="65AF29A1"/>
    <w:rsid w:val="6611785B"/>
    <w:rsid w:val="66341FEA"/>
    <w:rsid w:val="67095029"/>
    <w:rsid w:val="6D995997"/>
    <w:rsid w:val="6E74756A"/>
    <w:rsid w:val="7253307D"/>
    <w:rsid w:val="75E60AAD"/>
    <w:rsid w:val="75EC0642"/>
    <w:rsid w:val="7FDF64A7"/>
    <w:rsid w:val="7FE7AFDF"/>
    <w:rsid w:val="D7719B1A"/>
    <w:rsid w:val="DFFD9EB2"/>
    <w:rsid w:val="EFEBDF38"/>
    <w:rsid w:val="EFFF43F2"/>
    <w:rsid w:val="F56F40FE"/>
    <w:rsid w:val="FD7F0784"/>
    <w:rsid w:val="FFEB87C4"/>
    <w:rsid w:val="FFEC1F5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11"/>
    <w:unhideWhenUsed/>
    <w:qFormat/>
    <w:uiPriority w:val="99"/>
    <w:pPr>
      <w:jc w:val="left"/>
    </w:pPr>
  </w:style>
  <w:style w:type="paragraph" w:styleId="3">
    <w:name w:val="Body Text"/>
    <w:basedOn w:val="1"/>
    <w:qFormat/>
    <w:uiPriority w:val="1"/>
    <w:rPr>
      <w:sz w:val="33"/>
      <w:szCs w:val="33"/>
    </w:rPr>
  </w:style>
  <w:style w:type="paragraph" w:styleId="4">
    <w:name w:val="footer"/>
    <w:basedOn w:val="1"/>
    <w:next w:val="1"/>
    <w:qFormat/>
    <w:uiPriority w:val="0"/>
    <w:pPr>
      <w:tabs>
        <w:tab w:val="center" w:pos="4153"/>
        <w:tab w:val="right" w:pos="8306"/>
      </w:tabs>
      <w:snapToGrid w:val="0"/>
      <w:jc w:val="left"/>
    </w:pPr>
    <w:rPr>
      <w:sz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9">
    <w:name w:val="WPSOffice手动目录 2"/>
    <w:qFormat/>
    <w:uiPriority w:val="99"/>
    <w:pPr>
      <w:ind w:left="200" w:leftChars="200"/>
    </w:pPr>
    <w:rPr>
      <w:rFonts w:ascii="Calibri" w:hAnsi="Calibri" w:eastAsia="宋体" w:cs="Calibri"/>
      <w:lang w:val="en-US" w:eastAsia="zh-CN" w:bidi="ar-SA"/>
    </w:rPr>
  </w:style>
  <w:style w:type="character" w:customStyle="1" w:styleId="10">
    <w:name w:val="页眉 Char"/>
    <w:basedOn w:val="6"/>
    <w:link w:val="5"/>
    <w:qFormat/>
    <w:uiPriority w:val="0"/>
    <w:rPr>
      <w:rFonts w:ascii="Times New Roman" w:hAnsi="Times New Roman" w:eastAsia="宋体" w:cs="Times New Roman"/>
      <w:kern w:val="2"/>
      <w:sz w:val="18"/>
      <w:szCs w:val="18"/>
    </w:rPr>
  </w:style>
  <w:style w:type="character" w:customStyle="1" w:styleId="11">
    <w:name w:val="批注文字 Char"/>
    <w:basedOn w:val="6"/>
    <w:link w:val="2"/>
    <w:qFormat/>
    <w:uiPriority w:val="99"/>
    <w:rPr>
      <w:rFonts w:ascii="Times New Roman" w:hAnsi="Times New Roman" w:eastAsia="宋体" w:cs="Times New Roman"/>
      <w:kern w:val="2"/>
      <w:sz w:val="21"/>
      <w:szCs w:val="24"/>
    </w:rPr>
  </w:style>
  <w:style w:type="table" w:customStyle="1" w:styleId="12">
    <w:name w:val="Table Normal"/>
    <w:semiHidden/>
    <w:unhideWhenUsed/>
    <w:qFormat/>
    <w:uiPriority w:val="0"/>
    <w:rPr>
      <w:rFonts w:ascii="Times New Roman" w:hAnsi="Times New Roman" w:eastAsia="宋体" w:cs="Times New Roman"/>
    </w:rPr>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上海市崇明区农业农村委员会</Company>
  <Pages>16</Pages>
  <Words>6302</Words>
  <Characters>6359</Characters>
  <Lines>53</Lines>
  <Paragraphs>14</Paragraphs>
  <TotalTime>4</TotalTime>
  <ScaleCrop>false</ScaleCrop>
  <LinksUpToDate>false</LinksUpToDate>
  <CharactersWithSpaces>7233</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2022-08-21T01:51:00Z</dcterms:created>
  <dc:creator>Administrator</dc:creator>
  <cp:lastModifiedBy>我倒要看看名字可以起多长</cp:lastModifiedBy>
  <cp:lastPrinted>2022-08-21T02:00:00Z</cp:lastPrinted>
  <dcterms:modified xsi:type="dcterms:W3CDTF">2025-05-22T11:23:06Z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y fmtid="{D5CDD505-2E9C-101B-9397-08002B2CF9AE}" pid="3" name="ICV">
    <vt:lpwstr>56577E05A2784478A3A82CB01532BF2C_13</vt:lpwstr>
  </property>
  <property fmtid="{D5CDD505-2E9C-101B-9397-08002B2CF9AE}" pid="4" name="KSOTemplateDocerSaveRecord">
    <vt:lpwstr>eyJoZGlkIjoiNGU3N2VjOTAwOTFiYmNkZWEwMzE5ODc0YjYxNjNjZDciLCJ1c2VySWQiOiIzMDgwNjkxMDMifQ==</vt:lpwstr>
  </property>
</Properties>
</file>