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E453F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 w:rsidRPr="00E453FD">
        <w:rPr>
          <w:rFonts w:ascii="华文中宋" w:eastAsia="华文中宋" w:hAnsi="华文中宋" w:hint="eastAsia"/>
          <w:b/>
          <w:sz w:val="72"/>
          <w:szCs w:val="72"/>
        </w:rPr>
        <w:t>上海市崇明区城桥镇生态保护和市容环境事务所</w:t>
      </w:r>
      <w:r w:rsidR="009F6625">
        <w:rPr>
          <w:rFonts w:ascii="华文中宋" w:eastAsia="华文中宋" w:hAnsi="华文中宋" w:hint="eastAsia"/>
          <w:b/>
          <w:sz w:val="72"/>
          <w:szCs w:val="72"/>
        </w:rPr>
        <w:t>2023年度国有资产</w:t>
      </w:r>
    </w:p>
    <w:p w:rsidR="00BA2D8C" w:rsidRDefault="009F662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A2D8C" w:rsidRDefault="00BA2D8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BA2D8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A2D8C" w:rsidRDefault="009F662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000"/>
      </w:tblPr>
      <w:tblGrid>
        <w:gridCol w:w="6190"/>
        <w:gridCol w:w="1070"/>
        <w:gridCol w:w="992"/>
        <w:gridCol w:w="851"/>
        <w:gridCol w:w="970"/>
      </w:tblGrid>
      <w:tr w:rsidR="00BA2D8C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A2D8C" w:rsidRDefault="00BA2D8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A2D8C" w:rsidRDefault="00BA2D8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A2D8C" w:rsidRDefault="009F6625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BA2D8C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BA2D8C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D8C" w:rsidRDefault="00BA2D8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385D5E" w:rsidP="005154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710.1</w:t>
            </w:r>
            <w:r w:rsidR="00515447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385D5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852.4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385D5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142.15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385D5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66.83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831EE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850.39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831EE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1205.88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831EE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177.61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 w:rsidP="0016044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311.4</w:t>
            </w:r>
            <w:r w:rsidR="0016044F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 w:rsidP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654.65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876.27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253.58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288.58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253.58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288.58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24733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9F662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244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 w:rsidP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18.13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 w:rsidP="0016044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18.1</w:t>
            </w:r>
            <w:r w:rsidR="0016044F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282.43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0247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420.31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BA2D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385D5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154.61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385D5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68.39</w:t>
            </w:r>
          </w:p>
        </w:tc>
      </w:tr>
      <w:tr w:rsidR="00BA2D8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F66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D5C6E" w:rsidP="0051544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555.5</w:t>
            </w:r>
            <w:r w:rsidR="00515447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D8C" w:rsidRDefault="009D5C6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784</w:t>
            </w:r>
            <w:r w:rsidR="001110AF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.01</w:t>
            </w:r>
          </w:p>
        </w:tc>
      </w:tr>
    </w:tbl>
    <w:p w:rsidR="008E6882" w:rsidRDefault="008E6882"/>
    <w:p w:rsidR="00BA2D8C" w:rsidRDefault="009F6625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9F6625" w:rsidRPr="0012452C" w:rsidRDefault="009F6625" w:rsidP="0012452C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 w:hint="eastAsia"/>
          <w:sz w:val="30"/>
          <w:szCs w:val="30"/>
        </w:rPr>
        <w:t>2023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sectPr w:rsidR="009F6625" w:rsidRPr="0012452C" w:rsidSect="00BA2D8C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481" w:rsidRDefault="001C1481">
      <w:r>
        <w:separator/>
      </w:r>
    </w:p>
  </w:endnote>
  <w:endnote w:type="continuationSeparator" w:id="1">
    <w:p w:rsidR="001C1481" w:rsidRDefault="001C1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8C" w:rsidRDefault="00BA2D8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1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BA2D8C" w:rsidRDefault="00BA2D8C">
                <w:pPr>
                  <w:pStyle w:val="a3"/>
                </w:pPr>
                <w:r>
                  <w:fldChar w:fldCharType="begin"/>
                </w:r>
                <w:r w:rsidR="009F6625">
                  <w:instrText xml:space="preserve"> PAGE  \* MERGEFORMAT </w:instrText>
                </w:r>
                <w:r>
                  <w:fldChar w:fldCharType="separate"/>
                </w:r>
                <w:r w:rsidR="0012452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481" w:rsidRDefault="001C1481">
      <w:r>
        <w:separator/>
      </w:r>
    </w:p>
  </w:footnote>
  <w:footnote w:type="continuationSeparator" w:id="1">
    <w:p w:rsidR="001C1481" w:rsidRDefault="001C1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FjOGIzNTdmYmQwNGMyNmYxN2UwM2E4NzUyYTlkYWMifQ=="/>
  </w:docVars>
  <w:rsids>
    <w:rsidRoot w:val="7EE91B73"/>
    <w:rsid w:val="00024733"/>
    <w:rsid w:val="001110AF"/>
    <w:rsid w:val="0012452C"/>
    <w:rsid w:val="0016044F"/>
    <w:rsid w:val="001C1481"/>
    <w:rsid w:val="00385D5E"/>
    <w:rsid w:val="00515447"/>
    <w:rsid w:val="00831EE5"/>
    <w:rsid w:val="008E6882"/>
    <w:rsid w:val="009D5C6E"/>
    <w:rsid w:val="009F6625"/>
    <w:rsid w:val="00B51714"/>
    <w:rsid w:val="00BA2D8C"/>
    <w:rsid w:val="00E453FD"/>
    <w:rsid w:val="00F5330B"/>
    <w:rsid w:val="00FE2668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2D8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A2D8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BA2D8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11</cp:revision>
  <cp:lastPrinted>2023-06-16T22:53:00Z</cp:lastPrinted>
  <dcterms:created xsi:type="dcterms:W3CDTF">2024-08-13T01:01:00Z</dcterms:created>
  <dcterms:modified xsi:type="dcterms:W3CDTF">2024-08-13T01:42:00Z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