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sz w:val="32"/>
          <w:szCs w:val="32"/>
        </w:rPr>
      </w:pPr>
    </w:p>
    <w:p>
      <w:pPr>
        <w:spacing w:line="540" w:lineRule="exact"/>
        <w:rPr>
          <w:sz w:val="32"/>
          <w:szCs w:val="32"/>
        </w:rPr>
      </w:pPr>
    </w:p>
    <w:p>
      <w:pPr>
        <w:spacing w:line="540" w:lineRule="exact"/>
        <w:rPr>
          <w:sz w:val="32"/>
          <w:szCs w:val="32"/>
        </w:rPr>
      </w:pPr>
    </w:p>
    <w:p>
      <w:pPr>
        <w:spacing w:line="880" w:lineRule="exact"/>
        <w:jc w:val="distribute"/>
        <w:rPr>
          <w:rFonts w:ascii="方正小标宋简体" w:eastAsia="方正小标宋简体"/>
          <w:color w:val="FF0000"/>
          <w:spacing w:val="-11"/>
          <w:w w:val="75"/>
          <w:sz w:val="80"/>
          <w:szCs w:val="80"/>
        </w:rPr>
      </w:pPr>
      <w:r>
        <w:rPr>
          <w:rFonts w:hint="eastAsia" w:ascii="方正小标宋简体" w:eastAsia="方正小标宋简体"/>
          <w:color w:val="FF0000"/>
          <w:spacing w:val="-11"/>
          <w:w w:val="75"/>
          <w:sz w:val="80"/>
          <w:szCs w:val="80"/>
        </w:rPr>
        <w:t>上海市崇明区农业</w:t>
      </w:r>
      <w:r>
        <w:rPr>
          <w:rFonts w:hint="eastAsia" w:ascii="方正小标宋简体" w:eastAsia="方正小标宋简体"/>
          <w:color w:val="FF0000"/>
          <w:spacing w:val="-11"/>
          <w:w w:val="75"/>
          <w:sz w:val="80"/>
          <w:szCs w:val="80"/>
          <w:lang w:val="en-US" w:eastAsia="zh-CN"/>
        </w:rPr>
        <w:t>农村</w:t>
      </w:r>
      <w:r>
        <w:rPr>
          <w:rFonts w:hint="eastAsia" w:ascii="方正小标宋简体" w:eastAsia="方正小标宋简体"/>
          <w:color w:val="FF0000"/>
          <w:spacing w:val="-11"/>
          <w:w w:val="75"/>
          <w:sz w:val="80"/>
          <w:szCs w:val="80"/>
        </w:rPr>
        <w:t>委员会文件</w:t>
      </w:r>
    </w:p>
    <w:p>
      <w:pPr>
        <w:spacing w:line="560" w:lineRule="exact"/>
        <w:rPr>
          <w:szCs w:val="21"/>
        </w:rPr>
      </w:pPr>
    </w:p>
    <w:p>
      <w:pPr>
        <w:spacing w:line="560" w:lineRule="exact"/>
        <w:rPr>
          <w:szCs w:val="21"/>
        </w:rPr>
      </w:pPr>
    </w:p>
    <w:p>
      <w:pPr>
        <w:spacing w:line="560" w:lineRule="exact"/>
        <w:ind w:firstLine="320" w:firstLineChars="100"/>
        <w:jc w:val="center"/>
        <w:rPr>
          <w:rFonts w:hint="eastAsia" w:ascii="楷体_GB2312" w:eastAsia="仿宋_GB2312"/>
          <w:sz w:val="32"/>
          <w:lang w:val="en-US" w:eastAsia="zh-CN"/>
        </w:rPr>
      </w:pPr>
      <w:r>
        <w:rPr>
          <w:rFonts w:hint="eastAsia" w:ascii="仿宋_GB2312" w:eastAsia="仿宋_GB2312"/>
          <w:sz w:val="32"/>
        </w:rPr>
        <w:t>沪崇农发〔20</w:t>
      </w:r>
      <w:r>
        <w:rPr>
          <w:rFonts w:hint="eastAsia" w:ascii="仿宋_GB2312" w:eastAsia="仿宋_GB2312"/>
          <w:sz w:val="32"/>
          <w:lang w:val="en-US" w:eastAsia="zh-CN"/>
        </w:rPr>
        <w:t>23</w:t>
      </w:r>
      <w:r>
        <w:rPr>
          <w:rFonts w:hint="eastAsia" w:ascii="仿宋_GB2312" w:eastAsia="仿宋_GB2312"/>
          <w:sz w:val="32"/>
        </w:rPr>
        <w:t>〕</w:t>
      </w:r>
      <w:r>
        <w:rPr>
          <w:rFonts w:hint="eastAsia" w:ascii="仿宋_GB2312" w:eastAsia="仿宋_GB2312"/>
          <w:sz w:val="32"/>
          <w:lang w:val="en-US" w:eastAsia="zh-CN"/>
        </w:rPr>
        <w:t>3</w:t>
      </w:r>
      <w:bookmarkStart w:id="0" w:name="_GoBack"/>
      <w:bookmarkEnd w:id="0"/>
      <w:r>
        <w:rPr>
          <w:rFonts w:hint="eastAsia" w:ascii="仿宋_GB2312" w:eastAsia="仿宋_GB2312"/>
          <w:sz w:val="32"/>
        </w:rPr>
        <w:t>号</w:t>
      </w:r>
    </w:p>
    <w:p>
      <w:pPr>
        <w:spacing w:line="160" w:lineRule="exact"/>
        <w:rPr>
          <w:color w:val="FF0000"/>
          <w:szCs w:val="21"/>
          <w:u w:val="thick"/>
        </w:rPr>
      </w:pPr>
      <w:r>
        <w:rPr>
          <w:rFonts w:hint="eastAsia"/>
          <w:color w:val="FF0000"/>
          <w:szCs w:val="21"/>
          <w:u w:val="thick"/>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color w:val="FF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w w:val="90"/>
          <w:sz w:val="40"/>
          <w:szCs w:val="40"/>
        </w:rPr>
      </w:pPr>
    </w:p>
    <w:p>
      <w:pPr>
        <w:keepNext w:val="0"/>
        <w:keepLines w:val="0"/>
        <w:pageBreakBefore w:val="0"/>
        <w:widowControl w:val="0"/>
        <w:kinsoku/>
        <w:wordWrap/>
        <w:overflowPunct w:val="0"/>
        <w:topLinePunct w:val="0"/>
        <w:autoSpaceDE/>
        <w:autoSpaceDN/>
        <w:bidi w:val="0"/>
        <w:adjustRightIn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关于印发崇明区实施渔光互补项目</w:t>
      </w:r>
    </w:p>
    <w:p>
      <w:pPr>
        <w:keepNext w:val="0"/>
        <w:keepLines w:val="0"/>
        <w:pageBreakBefore w:val="0"/>
        <w:widowControl w:val="0"/>
        <w:kinsoku/>
        <w:wordWrap/>
        <w:overflowPunct w:val="0"/>
        <w:topLinePunct w:val="0"/>
        <w:autoSpaceDE/>
        <w:autoSpaceDN/>
        <w:bidi w:val="0"/>
        <w:adjustRightInd/>
        <w:spacing w:line="56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工作意见的通知</w:t>
      </w:r>
    </w:p>
    <w:p>
      <w:pPr>
        <w:keepNext w:val="0"/>
        <w:keepLines w:val="0"/>
        <w:pageBreakBefore w:val="0"/>
        <w:widowControl w:val="0"/>
        <w:suppressLineNumbers w:val="0"/>
        <w:kinsoku/>
        <w:wordWrap/>
        <w:overflowPunct w:val="0"/>
        <w:topLinePunct w:val="0"/>
        <w:autoSpaceDE/>
        <w:autoSpaceDN/>
        <w:bidi w:val="0"/>
        <w:adjustRightInd/>
        <w:spacing w:line="560" w:lineRule="exact"/>
        <w:jc w:val="both"/>
        <w:textAlignment w:val="auto"/>
        <w:outlineLvl w:val="9"/>
        <w:rPr>
          <w:rFonts w:hint="eastAsia" w:ascii="仿宋_GB2312" w:hAnsi="仿宋_GB2312" w:eastAsia="仿宋_GB2312" w:cs="仿宋_GB2312"/>
          <w:i w:val="0"/>
          <w:iCs w:val="0"/>
          <w:caps w:val="0"/>
          <w:color w:val="auto"/>
          <w:spacing w:val="0"/>
          <w:sz w:val="32"/>
          <w:szCs w:val="32"/>
          <w:shd w:val="clear" w:color="auto" w:fill="FFFFFF"/>
          <w:lang w:val="en-US" w:eastAsia="zh-CN"/>
        </w:rPr>
      </w:pPr>
    </w:p>
    <w:p>
      <w:pPr>
        <w:keepNext w:val="0"/>
        <w:keepLines w:val="0"/>
        <w:pageBreakBefore w:val="0"/>
        <w:widowControl w:val="0"/>
        <w:suppressLineNumbers w:val="0"/>
        <w:kinsoku/>
        <w:wordWrap/>
        <w:overflowPunct w:val="0"/>
        <w:topLinePunct w:val="0"/>
        <w:autoSpaceDE/>
        <w:autoSpaceDN/>
        <w:bidi w:val="0"/>
        <w:adjustRightInd/>
        <w:spacing w:line="560" w:lineRule="exact"/>
        <w:jc w:val="both"/>
        <w:textAlignment w:val="auto"/>
        <w:outlineLvl w:val="9"/>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各乡镇人民政府、现代农业园区：</w:t>
      </w:r>
    </w:p>
    <w:p>
      <w:pPr>
        <w:pStyle w:val="2"/>
        <w:keepNext w:val="0"/>
        <w:keepLines w:val="0"/>
        <w:pageBreakBefore w:val="0"/>
        <w:widowControl w:val="0"/>
        <w:kinsoku/>
        <w:topLinePunct w:val="0"/>
        <w:autoSpaceDE/>
        <w:autoSpaceDN/>
        <w:bidi w:val="0"/>
        <w:adjustRightIn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为切实保障全区渔业生产的正常开展，按照农业农村部办公厅《关于实施水产绿色健康养殖“五大行动”的通知》、市农业农村委《都市现代绿色渔业项目建设内容及标准要求》文件精神，我委结合我区部分地区引进的“渔光互补”新能源项目建设情况，以及本区渔业生产现状，特制定了《崇明区实施渔光互补项目工作意见》。现印发给你们，请结合实际，认真贯彻落实。</w:t>
      </w:r>
    </w:p>
    <w:p>
      <w:pPr>
        <w:keepNext w:val="0"/>
        <w:keepLines w:val="0"/>
        <w:pageBreakBefore w:val="0"/>
        <w:widowControl w:val="0"/>
        <w:kinsoku/>
        <w:topLinePunct w:val="0"/>
        <w:autoSpaceDE/>
        <w:autoSpaceDN/>
        <w:bidi w:val="0"/>
        <w:adjustRightIn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p>
    <w:p>
      <w:pPr>
        <w:keepNext w:val="0"/>
        <w:keepLines w:val="0"/>
        <w:pageBreakBefore w:val="0"/>
        <w:widowControl w:val="0"/>
        <w:kinsoku/>
        <w:topLinePunct w:val="0"/>
        <w:autoSpaceDE/>
        <w:autoSpaceDN/>
        <w:bidi w:val="0"/>
        <w:adjustRightInd/>
        <w:spacing w:line="560" w:lineRule="exact"/>
        <w:ind w:left="958" w:leftChars="304" w:hanging="320" w:hangingChars="100"/>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附件：崇明区实施渔光互补项目工作意见</w:t>
      </w:r>
    </w:p>
    <w:p>
      <w:pPr>
        <w:pStyle w:val="2"/>
        <w:keepNext w:val="0"/>
        <w:keepLines w:val="0"/>
        <w:pageBreakBefore w:val="0"/>
        <w:widowControl w:val="0"/>
        <w:kinsoku/>
        <w:topLinePunct w:val="0"/>
        <w:autoSpaceDE/>
        <w:autoSpaceDN/>
        <w:bidi w:val="0"/>
        <w:adjustRightInd/>
        <w:spacing w:line="560" w:lineRule="exact"/>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p>
    <w:p>
      <w:pPr>
        <w:pStyle w:val="2"/>
        <w:keepNext w:val="0"/>
        <w:keepLines w:val="0"/>
        <w:pageBreakBefore w:val="0"/>
        <w:widowControl w:val="0"/>
        <w:kinsoku/>
        <w:wordWrap w:val="0"/>
        <w:topLinePunct w:val="0"/>
        <w:autoSpaceDE/>
        <w:autoSpaceDN/>
        <w:bidi w:val="0"/>
        <w:adjustRightInd/>
        <w:spacing w:line="560" w:lineRule="exact"/>
        <w:jc w:val="right"/>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p>
    <w:p>
      <w:pPr>
        <w:pStyle w:val="2"/>
        <w:keepNext w:val="0"/>
        <w:keepLines w:val="0"/>
        <w:pageBreakBefore w:val="0"/>
        <w:widowControl w:val="0"/>
        <w:kinsoku/>
        <w:wordWrap w:val="0"/>
        <w:topLinePunct w:val="0"/>
        <w:autoSpaceDE/>
        <w:autoSpaceDN/>
        <w:bidi w:val="0"/>
        <w:adjustRightInd/>
        <w:spacing w:line="560" w:lineRule="exact"/>
        <w:jc w:val="right"/>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 xml:space="preserve">上海市崇明区农业农村委员会    </w:t>
      </w:r>
    </w:p>
    <w:p>
      <w:pPr>
        <w:keepNext w:val="0"/>
        <w:keepLines w:val="0"/>
        <w:pageBreakBefore w:val="0"/>
        <w:widowControl w:val="0"/>
        <w:kinsoku/>
        <w:wordWrap w:val="0"/>
        <w:topLinePunct w:val="0"/>
        <w:autoSpaceDE/>
        <w:autoSpaceDN/>
        <w:bidi w:val="0"/>
        <w:adjustRightInd/>
        <w:spacing w:line="560" w:lineRule="exact"/>
        <w:jc w:val="center"/>
        <w:textAlignment w:val="auto"/>
        <w:rPr>
          <w:rFonts w:hint="default"/>
          <w:lang w:val="en-US"/>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 xml:space="preserve">                              2023年1月17日        </w:t>
      </w:r>
    </w:p>
    <w:p>
      <w:pPr>
        <w:keepNext w:val="0"/>
        <w:keepLines w:val="0"/>
        <w:pageBreakBefore w:val="0"/>
        <w:widowControl w:val="0"/>
        <w:kinsoku/>
        <w:wordWrap/>
        <w:overflowPunct/>
        <w:topLinePunct w:val="0"/>
        <w:autoSpaceDE/>
        <w:autoSpaceDN/>
        <w:bidi w:val="0"/>
        <w:spacing w:line="540" w:lineRule="exact"/>
        <w:jc w:val="center"/>
        <w:textAlignment w:val="auto"/>
        <w:outlineLvl w:val="9"/>
        <w:rPr>
          <w:rFonts w:hint="eastAsia" w:ascii="方正小标宋简体" w:hAnsi="方正小标宋简体" w:eastAsia="方正小标宋简体" w:cs="方正小标宋简体"/>
          <w:b w:val="0"/>
          <w:bCs/>
          <w:sz w:val="44"/>
          <w:szCs w:val="44"/>
        </w:rPr>
      </w:pPr>
    </w:p>
    <w:p>
      <w:pPr>
        <w:keepNext w:val="0"/>
        <w:keepLines w:val="0"/>
        <w:pageBreakBefore w:val="0"/>
        <w:widowControl w:val="0"/>
        <w:kinsoku/>
        <w:wordWrap/>
        <w:overflowPunct/>
        <w:topLinePunct w:val="0"/>
        <w:autoSpaceDE/>
        <w:autoSpaceDN/>
        <w:bidi w:val="0"/>
        <w:spacing w:line="540" w:lineRule="exact"/>
        <w:jc w:val="center"/>
        <w:textAlignment w:val="auto"/>
        <w:outlineLvl w:val="9"/>
        <w:rPr>
          <w:rFonts w:hint="eastAsia" w:ascii="方正小标宋简体" w:hAnsi="方正小标宋简体" w:eastAsia="方正小标宋简体" w:cs="方正小标宋简体"/>
          <w:b/>
          <w:sz w:val="40"/>
          <w:szCs w:val="44"/>
        </w:rPr>
      </w:pPr>
    </w:p>
    <w:p>
      <w:pPr>
        <w:pStyle w:val="15"/>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left"/>
        <w:textAlignment w:val="auto"/>
        <w:outlineLvl w:val="9"/>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eastAsia="仿宋_GB2312"/>
          <w:sz w:val="32"/>
          <w:szCs w:val="32"/>
        </w:rPr>
      </w:pPr>
    </w:p>
    <w:p>
      <w:pPr>
        <w:pStyle w:val="2"/>
        <w:rPr>
          <w:rFonts w:hint="eastAsia" w:ascii="仿宋_GB2312" w:eastAsia="仿宋_GB2312"/>
          <w:sz w:val="32"/>
          <w:szCs w:val="32"/>
        </w:rPr>
      </w:pPr>
    </w:p>
    <w:p>
      <w:pPr>
        <w:rPr>
          <w:rFonts w:hint="eastAsia" w:ascii="仿宋_GB2312" w:eastAsia="仿宋_GB2312"/>
          <w:sz w:val="32"/>
          <w:szCs w:val="32"/>
        </w:rPr>
      </w:pPr>
    </w:p>
    <w:p>
      <w:pPr>
        <w:pStyle w:val="2"/>
        <w:rPr>
          <w:rFonts w:hint="eastAsia" w:ascii="仿宋_GB2312" w:eastAsia="仿宋_GB2312"/>
          <w:sz w:val="32"/>
          <w:szCs w:val="32"/>
        </w:rPr>
      </w:pPr>
    </w:p>
    <w:p>
      <w:pPr>
        <w:pStyle w:val="2"/>
        <w:rPr>
          <w:rFonts w:hint="eastAsia"/>
        </w:rPr>
      </w:pPr>
    </w:p>
    <w:p>
      <w:pPr>
        <w:rPr>
          <w:rFonts w:hint="eastAsia" w:ascii="仿宋_GB2312" w:eastAsia="仿宋_GB2312"/>
          <w:sz w:val="32"/>
          <w:szCs w:val="32"/>
        </w:rPr>
      </w:pPr>
    </w:p>
    <w:p>
      <w:pPr>
        <w:pStyle w:val="2"/>
        <w:rPr>
          <w:rFonts w:hint="eastAsia" w:ascii="仿宋_GB2312" w:eastAsia="仿宋_GB2312"/>
          <w:sz w:val="32"/>
          <w:szCs w:val="32"/>
        </w:rPr>
      </w:pPr>
    </w:p>
    <w:p>
      <w:pPr>
        <w:rPr>
          <w:rFonts w:hint="eastAsia" w:ascii="仿宋_GB2312" w:eastAsia="仿宋_GB2312"/>
          <w:sz w:val="32"/>
          <w:szCs w:val="32"/>
        </w:rPr>
      </w:pPr>
    </w:p>
    <w:p>
      <w:pPr>
        <w:pStyle w:val="2"/>
        <w:rPr>
          <w:rFonts w:hint="eastAsia" w:ascii="仿宋_GB2312" w:eastAsia="仿宋_GB2312"/>
          <w:sz w:val="32"/>
          <w:szCs w:val="32"/>
        </w:rPr>
      </w:pPr>
    </w:p>
    <w:p>
      <w:pPr>
        <w:rPr>
          <w:rFonts w:hint="eastAsia" w:ascii="仿宋_GB2312" w:eastAsia="仿宋_GB2312"/>
          <w:sz w:val="32"/>
          <w:szCs w:val="32"/>
        </w:rPr>
      </w:pPr>
    </w:p>
    <w:p>
      <w:pPr>
        <w:pStyle w:val="2"/>
        <w:rPr>
          <w:rFonts w:hint="eastAsia" w:ascii="仿宋_GB2312" w:eastAsia="仿宋_GB2312"/>
          <w:sz w:val="32"/>
          <w:szCs w:val="32"/>
        </w:rPr>
      </w:pPr>
    </w:p>
    <w:p>
      <w:pPr>
        <w:rPr>
          <w:rFonts w:hint="eastAsia" w:ascii="仿宋_GB2312" w:eastAsia="仿宋_GB2312"/>
          <w:sz w:val="32"/>
          <w:szCs w:val="32"/>
        </w:rPr>
      </w:pPr>
    </w:p>
    <w:p>
      <w:pPr>
        <w:pStyle w:val="2"/>
        <w:rPr>
          <w:rFonts w:hint="eastAsia" w:ascii="仿宋_GB2312" w:eastAsia="仿宋_GB2312"/>
          <w:sz w:val="32"/>
          <w:szCs w:val="32"/>
        </w:rPr>
      </w:pPr>
    </w:p>
    <w:p>
      <w:pPr>
        <w:rPr>
          <w:rFonts w:hint="eastAsia" w:ascii="仿宋_GB2312" w:eastAsia="仿宋_GB2312"/>
          <w:sz w:val="32"/>
          <w:szCs w:val="32"/>
        </w:rPr>
      </w:pPr>
    </w:p>
    <w:p>
      <w:pPr>
        <w:pStyle w:val="2"/>
        <w:rPr>
          <w:rFonts w:hint="eastAsia" w:ascii="仿宋_GB2312" w:eastAsia="仿宋_GB2312"/>
          <w:sz w:val="32"/>
          <w:szCs w:val="32"/>
        </w:rPr>
      </w:pPr>
    </w:p>
    <w:p>
      <w:pPr>
        <w:rPr>
          <w:rFonts w:hint="eastAsia"/>
        </w:rPr>
      </w:pP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Borders>
              <w:top w:val="single" w:color="auto" w:sz="12" w:space="0"/>
              <w:left w:val="nil"/>
              <w:bottom w:val="single" w:color="auto" w:sz="2" w:space="0"/>
              <w:right w:val="nil"/>
            </w:tcBorders>
          </w:tcPr>
          <w:p>
            <w:pPr>
              <w:keepNext w:val="0"/>
              <w:keepLines w:val="0"/>
              <w:pageBreakBefore w:val="0"/>
              <w:widowControl w:val="0"/>
              <w:kinsoku/>
              <w:wordWrap/>
              <w:overflowPunct/>
              <w:topLinePunct w:val="0"/>
              <w:autoSpaceDE/>
              <w:autoSpaceDN/>
              <w:bidi w:val="0"/>
              <w:adjustRightInd/>
              <w:snapToGrid/>
              <w:spacing w:line="500" w:lineRule="exact"/>
              <w:ind w:right="28"/>
              <w:textAlignment w:val="auto"/>
              <w:outlineLvl w:val="9"/>
              <w:rPr>
                <w:rFonts w:hint="eastAsia" w:ascii="仿宋_GB2312" w:eastAsia="仿宋_GB2312"/>
                <w:sz w:val="32"/>
                <w:szCs w:val="32"/>
                <w:lang w:eastAsia="zh-CN"/>
              </w:rPr>
            </w:pPr>
            <w:r>
              <w:rPr>
                <w:rFonts w:hint="eastAsia" w:ascii="仿宋_GB2312" w:eastAsia="仿宋_GB2312"/>
                <w:sz w:val="32"/>
                <w:szCs w:val="32"/>
              </w:rPr>
              <w:t xml:space="preserve">  </w:t>
            </w:r>
            <w:r>
              <w:rPr>
                <w:rFonts w:hint="eastAsia" w:ascii="仿宋_GB2312" w:eastAsia="仿宋_GB2312"/>
                <w:sz w:val="28"/>
                <w:szCs w:val="28"/>
              </w:rPr>
              <w:t>抄送：</w:t>
            </w:r>
            <w:r>
              <w:rPr>
                <w:rFonts w:hint="eastAsia" w:ascii="仿宋_GB2312" w:eastAsia="仿宋_GB2312"/>
                <w:sz w:val="28"/>
                <w:szCs w:val="28"/>
                <w:lang w:eastAsia="zh-CN"/>
              </w:rPr>
              <w:t>区发改委，区规划局，区水务局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Borders>
              <w:top w:val="single" w:color="auto" w:sz="2" w:space="0"/>
              <w:left w:val="nil"/>
              <w:bottom w:val="single" w:color="auto" w:sz="12" w:space="0"/>
              <w:right w:val="nil"/>
            </w:tcBorders>
          </w:tcPr>
          <w:p>
            <w:pPr>
              <w:keepNext w:val="0"/>
              <w:keepLines w:val="0"/>
              <w:pageBreakBefore w:val="0"/>
              <w:widowControl w:val="0"/>
              <w:kinsoku/>
              <w:wordWrap/>
              <w:overflowPunct/>
              <w:topLinePunct w:val="0"/>
              <w:autoSpaceDE/>
              <w:autoSpaceDN/>
              <w:bidi w:val="0"/>
              <w:adjustRightInd/>
              <w:snapToGrid/>
              <w:spacing w:line="500" w:lineRule="exact"/>
              <w:ind w:right="28"/>
              <w:textAlignment w:val="auto"/>
              <w:outlineLvl w:val="9"/>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28"/>
                <w:szCs w:val="28"/>
              </w:rPr>
              <w:t>上海市崇明区农业</w:t>
            </w:r>
            <w:r>
              <w:rPr>
                <w:rFonts w:hint="eastAsia" w:ascii="仿宋_GB2312" w:eastAsia="仿宋_GB2312"/>
                <w:sz w:val="28"/>
                <w:szCs w:val="28"/>
                <w:lang w:eastAsia="zh-CN"/>
              </w:rPr>
              <w:t>农村</w:t>
            </w:r>
            <w:r>
              <w:rPr>
                <w:rFonts w:hint="eastAsia" w:ascii="仿宋_GB2312" w:eastAsia="仿宋_GB2312"/>
                <w:sz w:val="28"/>
                <w:szCs w:val="28"/>
              </w:rPr>
              <w:t>委员会办公室       20</w:t>
            </w:r>
            <w:r>
              <w:rPr>
                <w:rFonts w:hint="eastAsia" w:ascii="仿宋_GB2312" w:eastAsia="仿宋_GB2312"/>
                <w:sz w:val="28"/>
                <w:szCs w:val="28"/>
                <w:lang w:val="en-US" w:eastAsia="zh-CN"/>
              </w:rPr>
              <w:t>23</w:t>
            </w:r>
            <w:r>
              <w:rPr>
                <w:rFonts w:hint="eastAsia" w:ascii="仿宋_GB2312" w:eastAsia="仿宋_GB2312"/>
                <w:sz w:val="28"/>
                <w:szCs w:val="28"/>
              </w:rPr>
              <w:t>年</w:t>
            </w:r>
            <w:r>
              <w:rPr>
                <w:rFonts w:hint="eastAsia" w:ascii="仿宋_GB2312" w:eastAsia="仿宋_GB2312"/>
                <w:sz w:val="28"/>
                <w:szCs w:val="28"/>
                <w:lang w:val="en-US" w:eastAsia="zh-CN"/>
              </w:rPr>
              <w:t>1</w:t>
            </w:r>
            <w:r>
              <w:rPr>
                <w:rFonts w:hint="eastAsia" w:ascii="仿宋_GB2312" w:eastAsia="仿宋_GB2312"/>
                <w:sz w:val="28"/>
                <w:szCs w:val="28"/>
              </w:rPr>
              <w:t>月</w:t>
            </w:r>
            <w:r>
              <w:rPr>
                <w:rFonts w:hint="eastAsia" w:ascii="仿宋_GB2312" w:eastAsia="仿宋_GB2312"/>
                <w:sz w:val="28"/>
                <w:szCs w:val="28"/>
                <w:lang w:val="en-US" w:eastAsia="zh-CN"/>
              </w:rPr>
              <w:t>17</w:t>
            </w:r>
            <w:r>
              <w:rPr>
                <w:rFonts w:hint="eastAsia" w:ascii="仿宋_GB2312" w:eastAsia="仿宋_GB2312"/>
                <w:sz w:val="28"/>
                <w:szCs w:val="28"/>
              </w:rPr>
              <w:t>日印发</w:t>
            </w:r>
          </w:p>
        </w:tc>
      </w:tr>
    </w:tbl>
    <w:p>
      <w:pPr>
        <w:spacing w:line="14" w:lineRule="exact"/>
        <w:rPr>
          <w:rFonts w:ascii="仿宋_GB2312" w:eastAsia="仿宋_GB2312"/>
          <w:sz w:val="32"/>
          <w:szCs w:val="32"/>
        </w:rPr>
      </w:pPr>
    </w:p>
    <w:p>
      <w:pPr>
        <w:bidi w:val="0"/>
        <w:jc w:val="left"/>
        <w:rPr>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jc w:val="both"/>
        <w:textAlignment w:val="auto"/>
        <w:outlineLvl w:val="9"/>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val="0"/>
        <w:topLinePunct w:val="0"/>
        <w:bidi w:val="0"/>
        <w:spacing w:line="56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崇明区实施渔光互补项目工作意见</w:t>
      </w:r>
    </w:p>
    <w:p>
      <w:pPr>
        <w:keepNext w:val="0"/>
        <w:keepLines w:val="0"/>
        <w:pageBreakBefore w:val="0"/>
        <w:widowControl w:val="0"/>
        <w:suppressLineNumbers w:val="0"/>
        <w:kinsoku/>
        <w:wordWrap/>
        <w:overflowPunct w:val="0"/>
        <w:topLinePunct w:val="0"/>
        <w:bidi w:val="0"/>
        <w:spacing w:line="560" w:lineRule="exact"/>
        <w:ind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shd w:val="clear" w:color="auto" w:fill="FFFFFF"/>
          <w:lang w:val="en-US" w:eastAsia="zh-CN"/>
        </w:rPr>
      </w:pP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为切实保障全区渔业生产的正常开展，确保全区养殖面积、养殖产量达到市政府“菜篮子”考核目标要求，并持续推进绿色养殖方式，进一步提升全区绿色健康生态养殖水平，按照农业农村部办公厅《关于实施水产绿色健康养殖“五大行动”的通知》、市农业农村委《都市现代绿色渔业项目建设内容及标准要求》，以及《崇明区农业农村发展“十四五”规划》《上海市崇明区养殖水域规划（2018-2035年）》文件精神，结合部分地区引进的“渔光互补”新能源项目建设情况，以及本区渔业生产现状，特对在本区范围内开展的“渔光互补”项目提出如下意见：</w:t>
      </w:r>
    </w:p>
    <w:p>
      <w:pPr>
        <w:pStyle w:val="5"/>
        <w:keepNext w:val="0"/>
        <w:keepLines w:val="0"/>
        <w:pageBreakBefore w:val="0"/>
        <w:widowControl w:val="0"/>
        <w:numPr>
          <w:ilvl w:val="0"/>
          <w:numId w:val="0"/>
        </w:numPr>
        <w:kinsoku/>
        <w:wordWrap/>
        <w:overflowPunct w:val="0"/>
        <w:topLinePunct w:val="0"/>
        <w:autoSpaceDE/>
        <w:autoSpaceDN/>
        <w:bidi w:val="0"/>
        <w:adjustRightInd w:val="0"/>
        <w:snapToGrid w:val="0"/>
        <w:spacing w:after="0" w:afterLines="0" w:line="560" w:lineRule="exact"/>
        <w:ind w:firstLine="640" w:firstLineChars="200"/>
        <w:jc w:val="both"/>
        <w:textAlignment w:val="auto"/>
        <w:outlineLvl w:val="9"/>
        <w:rPr>
          <w:rFonts w:hint="default" w:ascii="黑体" w:hAnsi="黑体" w:eastAsia="黑体" w:cs="黑体"/>
          <w:color w:val="auto"/>
          <w:lang w:val="en-US" w:eastAsia="zh-CN"/>
        </w:rPr>
      </w:pPr>
      <w:r>
        <w:rPr>
          <w:rFonts w:hint="eastAsia" w:ascii="黑体" w:hAnsi="黑体" w:eastAsia="黑体" w:cs="黑体"/>
          <w:color w:val="auto"/>
          <w:lang w:val="en-US" w:eastAsia="zh-CN"/>
        </w:rPr>
        <w:t>一、基本概念</w:t>
      </w:r>
    </w:p>
    <w:p>
      <w:pPr>
        <w:pStyle w:val="5"/>
        <w:keepNext w:val="0"/>
        <w:keepLines w:val="0"/>
        <w:pageBreakBefore w:val="0"/>
        <w:widowControl w:val="0"/>
        <w:numPr>
          <w:ilvl w:val="0"/>
          <w:numId w:val="0"/>
        </w:numPr>
        <w:kinsoku/>
        <w:wordWrap/>
        <w:overflowPunct w:val="0"/>
        <w:topLinePunct w:val="0"/>
        <w:autoSpaceDE/>
        <w:autoSpaceDN/>
        <w:bidi w:val="0"/>
        <w:adjustRightInd w:val="0"/>
        <w:snapToGrid w:val="0"/>
        <w:spacing w:after="0" w:afterLines="0" w:line="560" w:lineRule="exact"/>
        <w:ind w:firstLine="640" w:firstLineChars="200"/>
        <w:jc w:val="both"/>
        <w:textAlignment w:val="auto"/>
        <w:outlineLvl w:val="9"/>
        <w:rPr>
          <w:rFonts w:hint="default" w:ascii="黑体" w:hAnsi="黑体" w:eastAsia="黑体" w:cs="黑体"/>
          <w:color w:val="auto"/>
          <w:lang w:val="en-US" w:eastAsia="zh-CN"/>
        </w:rPr>
      </w:pPr>
      <w:r>
        <w:rPr>
          <w:rFonts w:hint="eastAsia" w:ascii="仿宋_GB2312" w:hAnsi="仿宋_GB2312" w:eastAsia="仿宋_GB2312" w:cs="仿宋_GB2312"/>
          <w:i w:val="0"/>
          <w:iCs w:val="0"/>
          <w:caps w:val="0"/>
          <w:color w:val="auto"/>
          <w:spacing w:val="0"/>
          <w:sz w:val="32"/>
          <w:szCs w:val="32"/>
          <w:shd w:val="clear" w:color="auto" w:fill="FFFFFF"/>
        </w:rPr>
        <w:t>“渔光互补”是指渔业养殖与光伏发电相结合，在鱼塘、湖泊及水库等水面上方架设光伏板阵列，形成“上可发电、下可养鱼”的</w:t>
      </w:r>
      <w:r>
        <w:rPr>
          <w:rFonts w:hint="eastAsia" w:ascii="仿宋_GB2312" w:hAnsi="仿宋_GB2312" w:cs="仿宋_GB2312"/>
          <w:i w:val="0"/>
          <w:iCs w:val="0"/>
          <w:caps w:val="0"/>
          <w:color w:val="auto"/>
          <w:spacing w:val="0"/>
          <w:sz w:val="32"/>
          <w:szCs w:val="32"/>
          <w:shd w:val="clear" w:color="auto" w:fill="FFFFFF"/>
          <w:lang w:val="en-US" w:eastAsia="zh-CN"/>
        </w:rPr>
        <w:t>生产</w:t>
      </w:r>
      <w:r>
        <w:rPr>
          <w:rFonts w:hint="eastAsia" w:ascii="仿宋_GB2312" w:hAnsi="仿宋_GB2312" w:eastAsia="仿宋_GB2312" w:cs="仿宋_GB2312"/>
          <w:i w:val="0"/>
          <w:iCs w:val="0"/>
          <w:caps w:val="0"/>
          <w:color w:val="auto"/>
          <w:spacing w:val="0"/>
          <w:sz w:val="32"/>
          <w:szCs w:val="32"/>
          <w:shd w:val="clear" w:color="auto" w:fill="FFFFFF"/>
        </w:rPr>
        <w:t>模式。</w:t>
      </w:r>
    </w:p>
    <w:p>
      <w:pPr>
        <w:keepNext w:val="0"/>
        <w:keepLines w:val="0"/>
        <w:pageBreakBefore w:val="0"/>
        <w:widowControl w:val="0"/>
        <w:numPr>
          <w:ilvl w:val="0"/>
          <w:numId w:val="0"/>
        </w:numPr>
        <w:kinsoku/>
        <w:wordWrap/>
        <w:overflowPunct w:val="0"/>
        <w:topLinePunct w:val="0"/>
        <w:autoSpaceDE w:val="0"/>
        <w:autoSpaceDN w:val="0"/>
        <w:bidi w:val="0"/>
        <w:spacing w:line="560" w:lineRule="exact"/>
        <w:ind w:firstLine="640" w:firstLineChars="200"/>
        <w:jc w:val="both"/>
        <w:textAlignment w:val="auto"/>
        <w:outlineLvl w:val="9"/>
        <w:rPr>
          <w:rFonts w:hint="eastAsia" w:ascii="黑体" w:hAnsi="黑体" w:eastAsia="黑体" w:cs="黑体"/>
          <w:color w:val="auto"/>
          <w:sz w:val="32"/>
          <w:szCs w:val="24"/>
          <w:lang w:val="en-US" w:eastAsia="zh-CN"/>
        </w:rPr>
      </w:pPr>
      <w:r>
        <w:rPr>
          <w:rFonts w:hint="eastAsia" w:ascii="黑体" w:hAnsi="黑体" w:eastAsia="黑体" w:cs="黑体"/>
          <w:color w:val="auto"/>
          <w:sz w:val="32"/>
          <w:szCs w:val="24"/>
          <w:lang w:val="en-US" w:eastAsia="zh-CN"/>
        </w:rPr>
        <w:t>二、总体原则</w:t>
      </w:r>
    </w:p>
    <w:p>
      <w:pPr>
        <w:keepNext w:val="0"/>
        <w:keepLines w:val="0"/>
        <w:pageBreakBefore w:val="0"/>
        <w:widowControl w:val="0"/>
        <w:numPr>
          <w:ilvl w:val="0"/>
          <w:numId w:val="0"/>
        </w:numPr>
        <w:kinsoku/>
        <w:wordWrap/>
        <w:overflowPunct w:val="0"/>
        <w:topLinePunct w:val="0"/>
        <w:autoSpaceDE w:val="0"/>
        <w:autoSpaceDN w:val="0"/>
        <w:bidi w:val="0"/>
        <w:spacing w:line="560" w:lineRule="exact"/>
        <w:ind w:firstLine="640" w:firstLineChars="200"/>
        <w:jc w:val="both"/>
        <w:textAlignment w:val="auto"/>
        <w:outlineLvl w:val="9"/>
        <w:rPr>
          <w:rFonts w:ascii="宋体" w:hAnsi="宋体" w:eastAsia="仿宋_GB2312" w:cs="Times New Roman"/>
          <w:color w:val="auto"/>
          <w:sz w:val="32"/>
          <w:szCs w:val="21"/>
        </w:rPr>
      </w:pPr>
      <w:r>
        <w:rPr>
          <w:rFonts w:hint="eastAsia" w:ascii="宋体" w:hAnsi="宋体" w:eastAsia="仿宋_GB2312" w:cs="Times New Roman"/>
          <w:color w:val="auto"/>
          <w:sz w:val="32"/>
          <w:szCs w:val="21"/>
        </w:rPr>
        <w:t>不影响</w:t>
      </w:r>
      <w:r>
        <w:rPr>
          <w:rFonts w:ascii="宋体" w:hAnsi="宋体" w:eastAsia="仿宋_GB2312" w:cs="Times New Roman"/>
          <w:color w:val="auto"/>
          <w:sz w:val="32"/>
          <w:szCs w:val="21"/>
        </w:rPr>
        <w:t>渔业的正常生产</w:t>
      </w:r>
      <w:r>
        <w:rPr>
          <w:rFonts w:hint="eastAsia" w:ascii="宋体" w:hAnsi="宋体" w:eastAsia="仿宋_GB2312" w:cs="Times New Roman"/>
          <w:color w:val="auto"/>
          <w:sz w:val="32"/>
          <w:szCs w:val="21"/>
        </w:rPr>
        <w:t>，符合</w:t>
      </w:r>
      <w:r>
        <w:rPr>
          <w:rFonts w:hint="eastAsia" w:ascii="宋体" w:hAnsi="宋体" w:eastAsia="仿宋_GB2312" w:cs="Times New Roman"/>
          <w:color w:val="auto"/>
          <w:sz w:val="32"/>
          <w:szCs w:val="21"/>
          <w:lang w:val="en-US" w:eastAsia="zh-CN"/>
        </w:rPr>
        <w:t>崇明区</w:t>
      </w:r>
      <w:r>
        <w:rPr>
          <w:rFonts w:hint="eastAsia" w:ascii="宋体" w:hAnsi="宋体" w:eastAsia="仿宋_GB2312" w:cs="Times New Roman"/>
          <w:color w:val="auto"/>
          <w:sz w:val="32"/>
          <w:szCs w:val="21"/>
        </w:rPr>
        <w:t>中长期渔业发展</w:t>
      </w:r>
      <w:r>
        <w:rPr>
          <w:rFonts w:ascii="宋体" w:hAnsi="宋体" w:eastAsia="仿宋_GB2312" w:cs="Times New Roman"/>
          <w:color w:val="auto"/>
          <w:sz w:val="32"/>
          <w:szCs w:val="21"/>
        </w:rPr>
        <w:t>规划</w:t>
      </w:r>
      <w:r>
        <w:rPr>
          <w:rFonts w:hint="eastAsia" w:ascii="宋体" w:hAnsi="宋体" w:eastAsia="仿宋_GB2312" w:cs="Times New Roman"/>
          <w:color w:val="auto"/>
          <w:sz w:val="32"/>
          <w:szCs w:val="21"/>
          <w:lang w:val="en-US" w:eastAsia="zh-CN"/>
        </w:rPr>
        <w:t>；</w:t>
      </w:r>
      <w:r>
        <w:rPr>
          <w:rFonts w:ascii="宋体" w:hAnsi="宋体" w:eastAsia="仿宋_GB2312" w:cs="Times New Roman"/>
          <w:color w:val="auto"/>
          <w:sz w:val="32"/>
          <w:szCs w:val="21"/>
        </w:rPr>
        <w:t>符合国土资源、环境保护、能源、渔业等</w:t>
      </w:r>
      <w:r>
        <w:rPr>
          <w:rFonts w:hint="eastAsia" w:ascii="宋体" w:hAnsi="宋体" w:eastAsia="仿宋_GB2312" w:cs="Times New Roman"/>
          <w:color w:val="auto"/>
          <w:sz w:val="32"/>
          <w:szCs w:val="21"/>
        </w:rPr>
        <w:t>政策规定</w:t>
      </w:r>
      <w:r>
        <w:rPr>
          <w:rFonts w:ascii="宋体" w:hAnsi="宋体" w:eastAsia="仿宋_GB2312" w:cs="Times New Roman"/>
          <w:color w:val="auto"/>
          <w:sz w:val="32"/>
          <w:szCs w:val="21"/>
        </w:rPr>
        <w:t>和法律法规</w:t>
      </w:r>
      <w:r>
        <w:rPr>
          <w:rFonts w:hint="eastAsia" w:ascii="宋体" w:hAnsi="宋体" w:eastAsia="仿宋_GB2312" w:cs="Times New Roman"/>
          <w:color w:val="auto"/>
          <w:sz w:val="32"/>
          <w:szCs w:val="21"/>
          <w:lang w:val="en-US" w:eastAsia="zh-CN"/>
        </w:rPr>
        <w:t>；</w:t>
      </w:r>
      <w:r>
        <w:rPr>
          <w:rFonts w:ascii="宋体" w:hAnsi="宋体" w:eastAsia="仿宋_GB2312" w:cs="Times New Roman"/>
          <w:color w:val="auto"/>
          <w:sz w:val="32"/>
          <w:szCs w:val="21"/>
        </w:rPr>
        <w:t>符合</w:t>
      </w:r>
      <w:r>
        <w:rPr>
          <w:rFonts w:hint="eastAsia" w:ascii="宋体" w:hAnsi="宋体" w:eastAsia="仿宋_GB2312" w:cs="Times New Roman"/>
          <w:color w:val="auto"/>
          <w:sz w:val="32"/>
          <w:szCs w:val="21"/>
          <w:lang w:val="en-US" w:eastAsia="zh-CN"/>
        </w:rPr>
        <w:t>崇明区</w:t>
      </w:r>
      <w:r>
        <w:rPr>
          <w:rFonts w:ascii="宋体" w:hAnsi="宋体" w:eastAsia="仿宋_GB2312" w:cs="Times New Roman"/>
          <w:color w:val="auto"/>
          <w:sz w:val="32"/>
          <w:szCs w:val="21"/>
        </w:rPr>
        <w:t>土地利用总体规划，严格规划设计，完善</w:t>
      </w:r>
      <w:r>
        <w:rPr>
          <w:rFonts w:hint="eastAsia" w:ascii="宋体" w:hAnsi="宋体" w:eastAsia="仿宋_GB2312" w:cs="Times New Roman"/>
          <w:color w:val="auto"/>
          <w:sz w:val="32"/>
          <w:szCs w:val="21"/>
        </w:rPr>
        <w:t>配套</w:t>
      </w:r>
      <w:r>
        <w:rPr>
          <w:rFonts w:ascii="宋体" w:hAnsi="宋体" w:eastAsia="仿宋_GB2312" w:cs="Times New Roman"/>
          <w:color w:val="auto"/>
          <w:sz w:val="32"/>
          <w:szCs w:val="21"/>
        </w:rPr>
        <w:t>设施</w:t>
      </w:r>
      <w:r>
        <w:rPr>
          <w:rFonts w:hint="eastAsia" w:ascii="宋体" w:hAnsi="宋体" w:eastAsia="仿宋_GB2312" w:cs="Times New Roman"/>
          <w:color w:val="auto"/>
          <w:sz w:val="32"/>
          <w:szCs w:val="21"/>
          <w:lang w:eastAsia="zh-CN"/>
        </w:rPr>
        <w:t>，</w:t>
      </w:r>
      <w:r>
        <w:rPr>
          <w:rFonts w:hint="eastAsia" w:ascii="宋体" w:hAnsi="宋体" w:eastAsia="仿宋_GB2312" w:cs="Times New Roman"/>
          <w:color w:val="auto"/>
          <w:sz w:val="32"/>
          <w:szCs w:val="21"/>
        </w:rPr>
        <w:t>包含进排水系统</w:t>
      </w:r>
      <w:r>
        <w:rPr>
          <w:rFonts w:ascii="宋体" w:hAnsi="宋体" w:eastAsia="仿宋_GB2312" w:cs="Times New Roman"/>
          <w:color w:val="auto"/>
          <w:sz w:val="32"/>
          <w:szCs w:val="21"/>
        </w:rPr>
        <w:t>、养殖</w:t>
      </w:r>
      <w:r>
        <w:rPr>
          <w:rFonts w:hint="eastAsia" w:ascii="宋体" w:hAnsi="宋体" w:eastAsia="仿宋_GB2312" w:cs="Times New Roman"/>
          <w:color w:val="auto"/>
          <w:sz w:val="32"/>
          <w:szCs w:val="21"/>
        </w:rPr>
        <w:t>系统</w:t>
      </w:r>
      <w:r>
        <w:rPr>
          <w:rFonts w:ascii="宋体" w:hAnsi="宋体" w:eastAsia="仿宋_GB2312" w:cs="Times New Roman"/>
          <w:color w:val="auto"/>
          <w:sz w:val="32"/>
          <w:szCs w:val="21"/>
        </w:rPr>
        <w:t>、水处理</w:t>
      </w:r>
      <w:r>
        <w:rPr>
          <w:rFonts w:hint="eastAsia" w:ascii="宋体" w:hAnsi="宋体" w:eastAsia="仿宋_GB2312" w:cs="Times New Roman"/>
          <w:color w:val="auto"/>
          <w:sz w:val="32"/>
          <w:szCs w:val="21"/>
        </w:rPr>
        <w:t>系统</w:t>
      </w:r>
      <w:r>
        <w:rPr>
          <w:rFonts w:ascii="宋体" w:hAnsi="宋体" w:eastAsia="仿宋_GB2312" w:cs="Times New Roman"/>
          <w:color w:val="auto"/>
          <w:sz w:val="32"/>
          <w:szCs w:val="21"/>
        </w:rPr>
        <w:t>以及其他配套</w:t>
      </w:r>
      <w:r>
        <w:rPr>
          <w:rFonts w:hint="eastAsia" w:ascii="宋体" w:hAnsi="宋体" w:eastAsia="仿宋_GB2312" w:cs="Times New Roman"/>
          <w:color w:val="auto"/>
          <w:sz w:val="32"/>
          <w:szCs w:val="21"/>
        </w:rPr>
        <w:t>设施，</w:t>
      </w:r>
      <w:r>
        <w:rPr>
          <w:rFonts w:ascii="宋体" w:hAnsi="宋体" w:eastAsia="仿宋_GB2312" w:cs="Times New Roman"/>
          <w:color w:val="auto"/>
          <w:sz w:val="32"/>
          <w:szCs w:val="21"/>
        </w:rPr>
        <w:t>满足</w:t>
      </w:r>
      <w:r>
        <w:rPr>
          <w:rFonts w:hint="eastAsia" w:ascii="宋体" w:hAnsi="宋体" w:eastAsia="仿宋_GB2312" w:cs="Times New Roman"/>
          <w:color w:val="auto"/>
          <w:sz w:val="32"/>
          <w:szCs w:val="21"/>
        </w:rPr>
        <w:t>渔业</w:t>
      </w:r>
      <w:r>
        <w:rPr>
          <w:rFonts w:hint="eastAsia" w:ascii="宋体" w:hAnsi="宋体" w:eastAsia="仿宋_GB2312" w:cs="Times New Roman"/>
          <w:color w:val="auto"/>
          <w:sz w:val="32"/>
          <w:szCs w:val="21"/>
          <w:lang w:val="en-US" w:eastAsia="zh-CN"/>
        </w:rPr>
        <w:t>绿色健康生产</w:t>
      </w:r>
      <w:r>
        <w:rPr>
          <w:rFonts w:ascii="宋体" w:hAnsi="宋体" w:eastAsia="仿宋_GB2312" w:cs="Times New Roman"/>
          <w:color w:val="auto"/>
          <w:sz w:val="32"/>
          <w:szCs w:val="21"/>
        </w:rPr>
        <w:t>要求。</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0" w:firstLineChars="200"/>
        <w:jc w:val="both"/>
        <w:textAlignment w:val="auto"/>
        <w:outlineLvl w:val="9"/>
        <w:rPr>
          <w:rFonts w:hint="default" w:ascii="黑体" w:hAnsi="黑体" w:eastAsia="黑体" w:cs="黑体"/>
          <w:color w:val="auto"/>
          <w:kern w:val="2"/>
          <w:sz w:val="32"/>
          <w:szCs w:val="24"/>
          <w:lang w:val="en-US" w:eastAsia="zh-CN" w:bidi="ar-SA"/>
        </w:rPr>
      </w:pPr>
      <w:r>
        <w:rPr>
          <w:rFonts w:hint="eastAsia" w:ascii="黑体" w:hAnsi="黑体" w:eastAsia="黑体" w:cs="黑体"/>
          <w:color w:val="auto"/>
          <w:kern w:val="2"/>
          <w:sz w:val="32"/>
          <w:szCs w:val="24"/>
          <w:lang w:val="en-US" w:eastAsia="zh-CN" w:bidi="ar-SA"/>
        </w:rPr>
        <w:t>三、工作意见</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0" w:firstLineChars="200"/>
        <w:jc w:val="both"/>
        <w:textAlignment w:val="auto"/>
        <w:outlineLvl w:val="9"/>
        <w:rPr>
          <w:rFonts w:hint="eastAsia" w:ascii="楷体_GB2312" w:hAnsi="楷体_GB2312" w:eastAsia="楷体_GB2312" w:cs="楷体_GB2312"/>
          <w:b w:val="0"/>
          <w:bCs w:val="0"/>
          <w:i w:val="0"/>
          <w:iCs w:val="0"/>
          <w:caps w:val="0"/>
          <w:color w:val="auto"/>
          <w:spacing w:val="0"/>
          <w:sz w:val="32"/>
          <w:szCs w:val="32"/>
          <w:shd w:val="clear" w:color="auto" w:fill="FFFFFF"/>
          <w:lang w:val="en-US" w:eastAsia="zh-CN"/>
        </w:rPr>
      </w:pPr>
      <w:r>
        <w:rPr>
          <w:rFonts w:hint="eastAsia" w:ascii="楷体_GB2312" w:hAnsi="楷体_GB2312" w:eastAsia="楷体_GB2312" w:cs="楷体_GB2312"/>
          <w:b w:val="0"/>
          <w:bCs w:val="0"/>
          <w:i w:val="0"/>
          <w:iCs w:val="0"/>
          <w:caps w:val="0"/>
          <w:color w:val="auto"/>
          <w:spacing w:val="0"/>
          <w:sz w:val="32"/>
          <w:szCs w:val="32"/>
          <w:shd w:val="clear" w:color="auto" w:fill="FFFFFF"/>
          <w:lang w:val="en-US" w:eastAsia="zh-CN"/>
        </w:rPr>
        <w:t>（一）坚持以渔为主原则</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“渔光互补”项目应遵循本区渔业发展规划，保持养殖面积不减、养殖产量稳定、养殖产品品质不降等，不得影响渔业正常放养和捕捞作业等，不允许对本区渔业生产产生负面影响，切实保障正常的渔业生产。</w:t>
      </w:r>
    </w:p>
    <w:p>
      <w:pPr>
        <w:keepNext w:val="0"/>
        <w:keepLines w:val="0"/>
        <w:pageBreakBefore w:val="0"/>
        <w:widowControl w:val="0"/>
        <w:numPr>
          <w:ilvl w:val="0"/>
          <w:numId w:val="1"/>
        </w:numPr>
        <w:suppressLineNumbers w:val="0"/>
        <w:kinsoku/>
        <w:wordWrap/>
        <w:overflowPunct w:val="0"/>
        <w:topLinePunct w:val="0"/>
        <w:autoSpaceDE/>
        <w:autoSpaceDN/>
        <w:bidi w:val="0"/>
        <w:adjustRightInd w:val="0"/>
        <w:snapToGrid w:val="0"/>
        <w:spacing w:line="560" w:lineRule="exact"/>
        <w:ind w:firstLine="640" w:firstLineChars="200"/>
        <w:jc w:val="both"/>
        <w:textAlignment w:val="auto"/>
        <w:outlineLvl w:val="9"/>
        <w:rPr>
          <w:rFonts w:hint="eastAsia" w:ascii="楷体_GB2312" w:hAnsi="楷体_GB2312" w:eastAsia="楷体_GB2312" w:cs="楷体_GB2312"/>
          <w:b w:val="0"/>
          <w:bCs w:val="0"/>
          <w:i w:val="0"/>
          <w:iCs w:val="0"/>
          <w:caps w:val="0"/>
          <w:color w:val="auto"/>
          <w:spacing w:val="0"/>
          <w:sz w:val="32"/>
          <w:szCs w:val="32"/>
          <w:shd w:val="clear" w:color="auto" w:fill="FFFFFF"/>
          <w:lang w:val="en-US" w:eastAsia="zh-CN"/>
        </w:rPr>
      </w:pPr>
      <w:r>
        <w:rPr>
          <w:rFonts w:hint="eastAsia" w:ascii="楷体_GB2312" w:hAnsi="楷体_GB2312" w:eastAsia="楷体_GB2312" w:cs="楷体_GB2312"/>
          <w:b w:val="0"/>
          <w:bCs w:val="0"/>
          <w:i w:val="0"/>
          <w:iCs w:val="0"/>
          <w:caps w:val="0"/>
          <w:color w:val="auto"/>
          <w:spacing w:val="0"/>
          <w:sz w:val="32"/>
          <w:szCs w:val="32"/>
          <w:shd w:val="clear" w:color="auto" w:fill="FFFFFF"/>
          <w:lang w:val="en-US" w:eastAsia="zh-CN"/>
        </w:rPr>
        <w:t>坚持绿色发展原则</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不能因“渔光互补”项目的建设运行而对养殖水体、池塘底（埂）泥等产生污染，并要充分保障养殖品种的光照需求，同时不能影响绿色健康养殖方式的顺利实施。</w:t>
      </w:r>
    </w:p>
    <w:p>
      <w:pPr>
        <w:keepNext w:val="0"/>
        <w:keepLines w:val="0"/>
        <w:pageBreakBefore w:val="0"/>
        <w:widowControl w:val="0"/>
        <w:numPr>
          <w:ilvl w:val="0"/>
          <w:numId w:val="1"/>
        </w:numPr>
        <w:suppressLineNumbers w:val="0"/>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eastAsia" w:ascii="楷体_GB2312" w:hAnsi="楷体_GB2312" w:eastAsia="楷体_GB2312" w:cs="楷体_GB2312"/>
          <w:b w:val="0"/>
          <w:bCs w:val="0"/>
          <w:i w:val="0"/>
          <w:iCs w:val="0"/>
          <w:caps w:val="0"/>
          <w:color w:val="auto"/>
          <w:spacing w:val="0"/>
          <w:sz w:val="32"/>
          <w:szCs w:val="32"/>
          <w:shd w:val="clear" w:color="auto" w:fill="FFFFFF"/>
          <w:lang w:val="en-US" w:eastAsia="zh-CN"/>
        </w:rPr>
      </w:pPr>
      <w:r>
        <w:rPr>
          <w:rFonts w:hint="eastAsia" w:ascii="楷体_GB2312" w:hAnsi="楷体_GB2312" w:eastAsia="楷体_GB2312" w:cs="楷体_GB2312"/>
          <w:b w:val="0"/>
          <w:bCs w:val="0"/>
          <w:i w:val="0"/>
          <w:iCs w:val="0"/>
          <w:caps w:val="0"/>
          <w:color w:val="auto"/>
          <w:spacing w:val="0"/>
          <w:sz w:val="32"/>
          <w:szCs w:val="32"/>
          <w:shd w:val="clear" w:color="auto" w:fill="FFFFFF"/>
          <w:lang w:val="en-US" w:eastAsia="zh-CN"/>
        </w:rPr>
        <w:t>坚持科学规划原则</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项目实施运行方要在科学合理制订养殖规划的前提下，开展光伏布局设计。光伏板一般布置在塘埂上，若需在水面上布局，则固定桩的桩距和行距</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原则上</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不低于4米和8米；从养殖所需最高水面至光伏板下沿的距离不低于2米;在光伏板均匀排列的前提下，光伏板覆盖率不得高于40%（覆盖率=光伏板垂直</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投影</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总面积/池塘水体总面积*100%）。</w:t>
      </w:r>
    </w:p>
    <w:p>
      <w:pPr>
        <w:keepNext w:val="0"/>
        <w:keepLines w:val="0"/>
        <w:pageBreakBefore w:val="0"/>
        <w:widowControl w:val="0"/>
        <w:numPr>
          <w:ilvl w:val="0"/>
          <w:numId w:val="1"/>
        </w:numPr>
        <w:suppressLineNumbers w:val="0"/>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eastAsia" w:ascii="楷体_GB2312" w:hAnsi="楷体_GB2312" w:eastAsia="楷体_GB2312" w:cs="楷体_GB2312"/>
          <w:b w:val="0"/>
          <w:bCs w:val="0"/>
          <w:i w:val="0"/>
          <w:iCs w:val="0"/>
          <w:caps w:val="0"/>
          <w:color w:val="auto"/>
          <w:spacing w:val="0"/>
          <w:sz w:val="32"/>
          <w:szCs w:val="32"/>
          <w:shd w:val="clear" w:color="auto" w:fill="FFFFFF"/>
          <w:lang w:val="en-US" w:eastAsia="zh-CN"/>
        </w:rPr>
      </w:pPr>
      <w:r>
        <w:rPr>
          <w:rFonts w:hint="eastAsia" w:ascii="楷体_GB2312" w:hAnsi="楷体_GB2312" w:eastAsia="楷体_GB2312" w:cs="楷体_GB2312"/>
          <w:b w:val="0"/>
          <w:bCs w:val="0"/>
          <w:i w:val="0"/>
          <w:iCs w:val="0"/>
          <w:caps w:val="0"/>
          <w:color w:val="auto"/>
          <w:spacing w:val="0"/>
          <w:sz w:val="32"/>
          <w:szCs w:val="32"/>
          <w:shd w:val="clear" w:color="auto" w:fill="FFFFFF"/>
          <w:lang w:val="en-US" w:eastAsia="zh-CN"/>
        </w:rPr>
        <w:t>坚持渔业导向原则</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560" w:lineRule="exact"/>
        <w:ind w:firstLine="640" w:firstLineChars="200"/>
        <w:jc w:val="both"/>
        <w:textAlignment w:val="auto"/>
        <w:outlineLvl w:val="9"/>
        <w:rPr>
          <w:rFonts w:hint="default"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凡开展“渔光互补”项目的，项目实施运行方需按区级渔业主管部门制订的渔业精养池塘标准要求（含尾水治理系统）自行开展池塘改造，并</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经区发改委、区农业农村委联合</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组织专家验收通过后，方可开展光伏设施建设。</w:t>
      </w:r>
    </w:p>
    <w:p>
      <w:pPr>
        <w:keepNext w:val="0"/>
        <w:keepLines w:val="0"/>
        <w:pageBreakBefore w:val="0"/>
        <w:widowControl w:val="0"/>
        <w:numPr>
          <w:ilvl w:val="0"/>
          <w:numId w:val="1"/>
        </w:numPr>
        <w:suppressLineNumbers w:val="0"/>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eastAsia" w:ascii="楷体_GB2312" w:hAnsi="楷体_GB2312" w:eastAsia="楷体_GB2312" w:cs="楷体_GB2312"/>
          <w:b w:val="0"/>
          <w:bCs w:val="0"/>
          <w:i w:val="0"/>
          <w:iCs w:val="0"/>
          <w:caps w:val="0"/>
          <w:color w:val="auto"/>
          <w:spacing w:val="0"/>
          <w:sz w:val="32"/>
          <w:szCs w:val="32"/>
          <w:shd w:val="clear" w:color="auto" w:fill="FFFFFF"/>
          <w:lang w:val="en-US" w:eastAsia="zh-CN"/>
        </w:rPr>
      </w:pPr>
      <w:r>
        <w:rPr>
          <w:rFonts w:hint="eastAsia" w:ascii="楷体_GB2312" w:hAnsi="楷体_GB2312" w:eastAsia="楷体_GB2312" w:cs="楷体_GB2312"/>
          <w:b w:val="0"/>
          <w:bCs w:val="0"/>
          <w:i w:val="0"/>
          <w:iCs w:val="0"/>
          <w:caps w:val="0"/>
          <w:color w:val="auto"/>
          <w:spacing w:val="0"/>
          <w:sz w:val="32"/>
          <w:szCs w:val="32"/>
          <w:shd w:val="clear" w:color="auto" w:fill="FFFFFF"/>
          <w:lang w:val="en-US" w:eastAsia="zh-CN"/>
        </w:rPr>
        <w:t>坚持护渔促渔原则</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项目实施运行方应优先满足保护渔业生产、促进池塘升级改造的需要。在因渔业生产实际需要对池塘进行改造时，项目实施运行方应无条件给予支持并予以积极配合。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val="0"/>
          <w:i w:val="0"/>
          <w:iCs w:val="0"/>
          <w:caps w:val="0"/>
          <w:color w:val="auto"/>
          <w:spacing w:val="0"/>
          <w:sz w:val="32"/>
          <w:szCs w:val="32"/>
          <w:shd w:val="clear" w:color="auto" w:fill="FFFFFF"/>
          <w:lang w:val="en-US" w:eastAsia="zh-CN"/>
        </w:rPr>
      </w:pPr>
      <w:r>
        <w:rPr>
          <w:rFonts w:hint="eastAsia" w:ascii="黑体" w:hAnsi="黑体" w:eastAsia="黑体" w:cs="黑体"/>
          <w:b w:val="0"/>
          <w:bCs w:val="0"/>
          <w:i w:val="0"/>
          <w:iCs w:val="0"/>
          <w:caps w:val="0"/>
          <w:color w:val="auto"/>
          <w:spacing w:val="0"/>
          <w:sz w:val="32"/>
          <w:szCs w:val="32"/>
          <w:shd w:val="clear" w:color="auto" w:fill="FFFFFF"/>
          <w:lang w:val="en-US" w:eastAsia="zh-CN"/>
        </w:rPr>
        <w:t>四、附则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本意见</w:t>
      </w:r>
      <w:r>
        <w:rPr>
          <w:rFonts w:hint="eastAsia" w:ascii="仿宋_GB2312" w:hAnsi="仿宋_GB2312" w:eastAsia="仿宋_GB2312" w:cs="仿宋_GB2312"/>
          <w:color w:val="auto"/>
          <w:sz w:val="32"/>
          <w:szCs w:val="32"/>
          <w:shd w:val="clear" w:color="auto" w:fill="FFFFFF"/>
        </w:rPr>
        <w:t>由区农业农村委负责解释</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自2023年1月1日起实行。</w:t>
      </w:r>
    </w:p>
    <w:p>
      <w:pPr>
        <w:pStyle w:val="2"/>
        <w:rPr>
          <w:lang w:val="en-US" w:eastAsia="zh-CN"/>
        </w:rPr>
      </w:pPr>
    </w:p>
    <w:sectPr>
      <w:headerReference r:id="rId6" w:type="first"/>
      <w:footerReference r:id="rId9" w:type="first"/>
      <w:footerReference r:id="rId7" w:type="default"/>
      <w:headerReference r:id="rId5" w:type="even"/>
      <w:footerReference r:id="rId8" w:type="even"/>
      <w:pgSz w:w="11906" w:h="16838"/>
      <w:pgMar w:top="2098" w:right="1474" w:bottom="1984" w:left="1588" w:header="851" w:footer="1247"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decorative"/>
    <w:pitch w:val="default"/>
    <w:sig w:usb0="00000000" w:usb1="00000000" w:usb2="00000000" w:usb3="00000000" w:csb0="00040000" w:csb1="00000000"/>
  </w:font>
  <w:font w:name="仿宋_GB2312">
    <w:altName w:val="方正仿宋_GBK"/>
    <w:panose1 w:val="02010609030101010101"/>
    <w:charset w:val="86"/>
    <w:family w:val="decorative"/>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jc w:val="right"/>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639632"/>
    </w:sdtPr>
    <w:sdtContent>
      <w:p>
        <w:pPr>
          <w:pStyle w:val="2"/>
          <w:ind w:firstLine="180" w:firstLineChars="100"/>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90BBEB"/>
    <w:multiLevelType w:val="singleLevel"/>
    <w:tmpl w:val="CB90BBE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045"/>
    <w:rsid w:val="00002667"/>
    <w:rsid w:val="0004504A"/>
    <w:rsid w:val="00052038"/>
    <w:rsid w:val="000A30C9"/>
    <w:rsid w:val="0013714C"/>
    <w:rsid w:val="001562E9"/>
    <w:rsid w:val="00180A71"/>
    <w:rsid w:val="001E1D35"/>
    <w:rsid w:val="001F39D8"/>
    <w:rsid w:val="0022312E"/>
    <w:rsid w:val="00232F36"/>
    <w:rsid w:val="0026506F"/>
    <w:rsid w:val="00270770"/>
    <w:rsid w:val="002A1834"/>
    <w:rsid w:val="00364AFB"/>
    <w:rsid w:val="00395936"/>
    <w:rsid w:val="00466422"/>
    <w:rsid w:val="004A652C"/>
    <w:rsid w:val="00512A54"/>
    <w:rsid w:val="00545AC5"/>
    <w:rsid w:val="005463E7"/>
    <w:rsid w:val="005670B4"/>
    <w:rsid w:val="005E13CB"/>
    <w:rsid w:val="005E2E11"/>
    <w:rsid w:val="006326A2"/>
    <w:rsid w:val="00641D88"/>
    <w:rsid w:val="006A4FFB"/>
    <w:rsid w:val="00717904"/>
    <w:rsid w:val="00721C46"/>
    <w:rsid w:val="00763E67"/>
    <w:rsid w:val="00775EF0"/>
    <w:rsid w:val="00785641"/>
    <w:rsid w:val="00796975"/>
    <w:rsid w:val="007F599C"/>
    <w:rsid w:val="008C5D06"/>
    <w:rsid w:val="009133B7"/>
    <w:rsid w:val="009421D7"/>
    <w:rsid w:val="00986EBD"/>
    <w:rsid w:val="0099392C"/>
    <w:rsid w:val="009A1E79"/>
    <w:rsid w:val="009A38E0"/>
    <w:rsid w:val="009B0560"/>
    <w:rsid w:val="009E5E2F"/>
    <w:rsid w:val="00AF7AE8"/>
    <w:rsid w:val="00BA4B06"/>
    <w:rsid w:val="00BA5C14"/>
    <w:rsid w:val="00BB5814"/>
    <w:rsid w:val="00BD591D"/>
    <w:rsid w:val="00BF1105"/>
    <w:rsid w:val="00C11B56"/>
    <w:rsid w:val="00C219BD"/>
    <w:rsid w:val="00C372DC"/>
    <w:rsid w:val="00C85251"/>
    <w:rsid w:val="00C945AA"/>
    <w:rsid w:val="00CB6736"/>
    <w:rsid w:val="00D57723"/>
    <w:rsid w:val="00D93834"/>
    <w:rsid w:val="00E13CAF"/>
    <w:rsid w:val="00E30AC2"/>
    <w:rsid w:val="00E748FD"/>
    <w:rsid w:val="00E76BAF"/>
    <w:rsid w:val="00ED5A2E"/>
    <w:rsid w:val="00F207B9"/>
    <w:rsid w:val="00F25488"/>
    <w:rsid w:val="00F31E6B"/>
    <w:rsid w:val="00FB10D2"/>
    <w:rsid w:val="00FC5045"/>
    <w:rsid w:val="074B6C7D"/>
    <w:rsid w:val="07986C27"/>
    <w:rsid w:val="085C75CA"/>
    <w:rsid w:val="088C3BBA"/>
    <w:rsid w:val="0E1B71D9"/>
    <w:rsid w:val="125F0E4A"/>
    <w:rsid w:val="12C25BF5"/>
    <w:rsid w:val="145B5532"/>
    <w:rsid w:val="22DE6C8D"/>
    <w:rsid w:val="2ABB21C3"/>
    <w:rsid w:val="2FF57667"/>
    <w:rsid w:val="3171476F"/>
    <w:rsid w:val="34F77DF8"/>
    <w:rsid w:val="39E61519"/>
    <w:rsid w:val="3BF0012E"/>
    <w:rsid w:val="3C881EC8"/>
    <w:rsid w:val="401F40F2"/>
    <w:rsid w:val="42E43A3B"/>
    <w:rsid w:val="430D4C6B"/>
    <w:rsid w:val="4B93267E"/>
    <w:rsid w:val="523A6313"/>
    <w:rsid w:val="5363107C"/>
    <w:rsid w:val="5A9F69C2"/>
    <w:rsid w:val="61F32D38"/>
    <w:rsid w:val="62314B77"/>
    <w:rsid w:val="63404068"/>
    <w:rsid w:val="650F2AEB"/>
    <w:rsid w:val="6A9D79F0"/>
    <w:rsid w:val="6B755BB7"/>
    <w:rsid w:val="7002039C"/>
    <w:rsid w:val="71A8161F"/>
    <w:rsid w:val="74A0466C"/>
    <w:rsid w:val="75BE5E21"/>
    <w:rsid w:val="78E66175"/>
    <w:rsid w:val="78E94955"/>
    <w:rsid w:val="79D67AD5"/>
    <w:rsid w:val="7A3361A8"/>
    <w:rsid w:val="7C00503C"/>
    <w:rsid w:val="7FDE0340"/>
    <w:rsid w:val="FDFFF4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0" w:line="240" w:lineRule="auto"/>
      <w:ind w:firstLine="0" w:firstLineChars="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next w:val="1"/>
    <w:link w:val="11"/>
    <w:unhideWhenUsed/>
    <w:qFormat/>
    <w:uiPriority w:val="99"/>
    <w:pPr>
      <w:tabs>
        <w:tab w:val="center" w:pos="4153"/>
        <w:tab w:val="right" w:pos="8306"/>
      </w:tabs>
      <w:snapToGrid w:val="0"/>
      <w:jc w:val="left"/>
    </w:pPr>
    <w:rPr>
      <w:sz w:val="18"/>
      <w:szCs w:val="18"/>
    </w:rPr>
  </w:style>
  <w:style w:type="paragraph" w:styleId="3">
    <w:name w:val="Balloon Text"/>
    <w:basedOn w:val="1"/>
    <w:link w:val="12"/>
    <w:unhideWhenUsed/>
    <w:qFormat/>
    <w:uiPriority w:val="99"/>
    <w:rPr>
      <w:sz w:val="18"/>
      <w:szCs w:val="18"/>
    </w:rPr>
  </w:style>
  <w:style w:type="paragraph" w:styleId="4">
    <w:name w:val="header"/>
    <w:basedOn w:val="1"/>
    <w:link w:val="10"/>
    <w:unhideWhenUsed/>
    <w:qFormat/>
    <w:uiPriority w:val="99"/>
    <w:pPr>
      <w:tabs>
        <w:tab w:val="center" w:pos="4153"/>
        <w:tab w:val="right" w:pos="8306"/>
      </w:tabs>
      <w:snapToGrid w:val="0"/>
      <w:jc w:val="center"/>
    </w:pPr>
    <w:rPr>
      <w:sz w:val="18"/>
      <w:szCs w:val="18"/>
    </w:rPr>
  </w:style>
  <w:style w:type="paragraph" w:styleId="5">
    <w:name w:val="Body Text First Indent"/>
    <w:qFormat/>
    <w:uiPriority w:val="0"/>
    <w:pPr>
      <w:widowControl w:val="0"/>
      <w:spacing w:after="120" w:afterLines="0" w:afterAutospacing="0"/>
      <w:ind w:firstLine="420" w:firstLineChars="100"/>
      <w:jc w:val="both"/>
    </w:pPr>
    <w:rPr>
      <w:rFonts w:ascii="Calibri" w:hAnsi="Calibri" w:eastAsia="仿宋_GB2312" w:cs="Times New Roman"/>
      <w:kern w:val="2"/>
      <w:sz w:val="32"/>
      <w:szCs w:val="24"/>
      <w:lang w:val="en-US" w:eastAsia="zh-CN" w:bidi="ar-SA"/>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customStyle="1" w:styleId="10">
    <w:name w:val="页眉 Char"/>
    <w:basedOn w:val="8"/>
    <w:link w:val="4"/>
    <w:qFormat/>
    <w:uiPriority w:val="99"/>
    <w:rPr>
      <w:kern w:val="2"/>
      <w:sz w:val="18"/>
      <w:szCs w:val="18"/>
    </w:rPr>
  </w:style>
  <w:style w:type="character" w:customStyle="1" w:styleId="11">
    <w:name w:val="页脚 Char"/>
    <w:basedOn w:val="8"/>
    <w:link w:val="2"/>
    <w:qFormat/>
    <w:uiPriority w:val="99"/>
    <w:rPr>
      <w:kern w:val="2"/>
      <w:sz w:val="18"/>
      <w:szCs w:val="18"/>
    </w:rPr>
  </w:style>
  <w:style w:type="character" w:customStyle="1" w:styleId="12">
    <w:name w:val="批注框文本 Char"/>
    <w:basedOn w:val="8"/>
    <w:link w:val="3"/>
    <w:semiHidden/>
    <w:qFormat/>
    <w:uiPriority w:val="99"/>
    <w:rPr>
      <w:kern w:val="2"/>
      <w:sz w:val="18"/>
      <w:szCs w:val="18"/>
    </w:rPr>
  </w:style>
  <w:style w:type="character" w:customStyle="1" w:styleId="13">
    <w:name w:val="font11"/>
    <w:basedOn w:val="8"/>
    <w:qFormat/>
    <w:uiPriority w:val="0"/>
    <w:rPr>
      <w:rFonts w:hint="default" w:ascii="Times New Roman" w:hAnsi="Times New Roman" w:cs="Times New Roman"/>
      <w:color w:val="000000"/>
      <w:sz w:val="22"/>
      <w:szCs w:val="22"/>
      <w:u w:val="none"/>
    </w:rPr>
  </w:style>
  <w:style w:type="character" w:customStyle="1" w:styleId="14">
    <w:name w:val="font21"/>
    <w:basedOn w:val="8"/>
    <w:qFormat/>
    <w:uiPriority w:val="0"/>
    <w:rPr>
      <w:rFonts w:hint="eastAsia" w:ascii="宋体" w:hAnsi="宋体" w:eastAsia="宋体" w:cs="宋体"/>
      <w:color w:val="000000"/>
      <w:sz w:val="22"/>
      <w:szCs w:val="22"/>
      <w:u w:val="none"/>
    </w:rPr>
  </w:style>
  <w:style w:type="paragraph" w:customStyle="1" w:styleId="15">
    <w:name w:val="列出段落1"/>
    <w:basedOn w:val="1"/>
    <w:qFormat/>
    <w:uiPriority w:val="0"/>
    <w:pPr>
      <w:ind w:firstLine="420" w:firstLineChars="200"/>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C.Y.H(201411)</Company>
  <Pages>2</Pages>
  <Words>30</Words>
  <Characters>175</Characters>
  <Lines>1</Lines>
  <Paragraphs>1</Paragraphs>
  <TotalTime>11</TotalTime>
  <ScaleCrop>false</ScaleCrop>
  <LinksUpToDate>false</LinksUpToDate>
  <CharactersWithSpaces>204</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2017-08-14T17:04:00Z</dcterms:created>
  <dc:creator>cm</dc:creator>
  <cp:lastModifiedBy>THE NEXT</cp:lastModifiedBy>
  <cp:lastPrinted>2022-11-22T09:11:00Z</cp:lastPrinted>
  <dcterms:modified xsi:type="dcterms:W3CDTF">2023-01-17T13:40:56Z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