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7"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before="137" w:line="3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eastAsia="zh-CN"/>
        </w:rPr>
        <w:t>崇明区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安全生产举报处理情况统计表(分行业领域)</w:t>
      </w:r>
    </w:p>
    <w:p>
      <w:pPr>
        <w:spacing w:before="62" w:line="320" w:lineRule="exact"/>
        <w:rPr>
          <w:rFonts w:hint="eastAsia" w:ascii="仿宋_GB2312" w:hAnsi="仿宋_GB2312" w:eastAsia="仿宋_GB2312" w:cs="仿宋_GB2312"/>
          <w:spacing w:val="-9"/>
          <w:sz w:val="21"/>
          <w:szCs w:val="21"/>
          <w:lang w:eastAsia="zh-CN"/>
        </w:rPr>
      </w:pPr>
    </w:p>
    <w:p>
      <w:pPr>
        <w:spacing w:before="62" w:line="320" w:lineRule="exact"/>
        <w:rPr>
          <w:rFonts w:hint="eastAsia" w:ascii="仿宋_GB2312" w:hAnsi="仿宋_GB2312" w:eastAsia="仿宋_GB2312" w:cs="仿宋_GB2312"/>
          <w:spacing w:val="-9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22"/>
          <w:szCs w:val="22"/>
          <w:lang w:eastAsia="zh-CN"/>
        </w:rPr>
        <w:t>填报单位：</w:t>
      </w:r>
      <w:r>
        <w:rPr>
          <w:rFonts w:hint="eastAsia" w:ascii="仿宋_GB2312" w:hAnsi="仿宋_GB2312" w:eastAsia="仿宋_GB2312" w:cs="仿宋_GB2312"/>
          <w:spacing w:val="-9"/>
          <w:sz w:val="22"/>
          <w:szCs w:val="22"/>
          <w:lang w:val="en-US" w:eastAsia="zh-CN"/>
        </w:rPr>
        <w:t xml:space="preserve">                            统计时间：                              填报人：                            联系电话：</w:t>
      </w:r>
    </w:p>
    <w:p>
      <w:pPr>
        <w:spacing w:before="62" w:line="320" w:lineRule="exac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-9"/>
          <w:sz w:val="22"/>
          <w:szCs w:val="22"/>
        </w:rPr>
        <w:t>行业领域(请选择):□建筑施工</w:t>
      </w:r>
      <w:r>
        <w:rPr>
          <w:rFonts w:hint="eastAsia" w:ascii="仿宋_GB2312" w:hAnsi="仿宋_GB2312" w:eastAsia="仿宋_GB2312" w:cs="仿宋_GB2312"/>
          <w:spacing w:val="-9"/>
          <w:sz w:val="22"/>
          <w:szCs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2"/>
          <w:szCs w:val="22"/>
        </w:rPr>
        <w:t>□燃气</w:t>
      </w:r>
      <w:r>
        <w:rPr>
          <w:rFonts w:hint="eastAsia" w:ascii="仿宋_GB2312" w:hAnsi="仿宋_GB2312" w:eastAsia="仿宋_GB2312" w:cs="仿宋_GB2312"/>
          <w:spacing w:val="-9"/>
          <w:sz w:val="22"/>
          <w:szCs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2"/>
          <w:szCs w:val="22"/>
        </w:rPr>
        <w:t>□交通运输</w:t>
      </w:r>
      <w:r>
        <w:rPr>
          <w:rFonts w:hint="eastAsia" w:ascii="仿宋_GB2312" w:hAnsi="仿宋_GB2312" w:eastAsia="仿宋_GB2312" w:cs="仿宋_GB2312"/>
          <w:spacing w:val="-9"/>
          <w:sz w:val="22"/>
          <w:szCs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2"/>
          <w:szCs w:val="22"/>
        </w:rPr>
        <w:t>□危爆物品管理</w:t>
      </w:r>
      <w:r>
        <w:rPr>
          <w:rFonts w:hint="eastAsia" w:ascii="仿宋_GB2312" w:hAnsi="仿宋_GB2312" w:eastAsia="仿宋_GB2312" w:cs="仿宋_GB2312"/>
          <w:spacing w:val="-9"/>
          <w:sz w:val="22"/>
          <w:szCs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2"/>
          <w:szCs w:val="22"/>
        </w:rPr>
        <w:t>□道路安全</w:t>
      </w:r>
      <w:r>
        <w:rPr>
          <w:rFonts w:hint="eastAsia" w:ascii="仿宋_GB2312" w:hAnsi="仿宋_GB2312" w:eastAsia="仿宋_GB2312" w:cs="仿宋_GB2312"/>
          <w:spacing w:val="-9"/>
          <w:sz w:val="22"/>
          <w:szCs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2"/>
          <w:szCs w:val="22"/>
        </w:rPr>
        <w:t>□消防安全</w:t>
      </w:r>
      <w:r>
        <w:rPr>
          <w:rFonts w:hint="eastAsia" w:ascii="仿宋_GB2312" w:hAnsi="仿宋_GB2312" w:eastAsia="仿宋_GB2312" w:cs="仿宋_GB2312"/>
          <w:spacing w:val="-9"/>
          <w:sz w:val="22"/>
          <w:szCs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2"/>
          <w:szCs w:val="22"/>
        </w:rPr>
        <w:t>□快递物流</w:t>
      </w:r>
      <w:r>
        <w:rPr>
          <w:rFonts w:hint="eastAsia" w:ascii="仿宋_GB2312" w:hAnsi="仿宋_GB2312" w:eastAsia="仿宋_GB2312" w:cs="仿宋_GB2312"/>
          <w:spacing w:val="-9"/>
          <w:sz w:val="22"/>
          <w:szCs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2"/>
          <w:szCs w:val="22"/>
        </w:rPr>
        <w:t>□特种设备</w:t>
      </w:r>
      <w:r>
        <w:rPr>
          <w:rFonts w:hint="eastAsia" w:ascii="仿宋_GB2312" w:hAnsi="仿宋_GB2312" w:eastAsia="仿宋_GB2312" w:cs="仿宋_GB2312"/>
          <w:spacing w:val="-9"/>
          <w:sz w:val="22"/>
          <w:szCs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2"/>
          <w:szCs w:val="22"/>
        </w:rPr>
        <w:t>□危险化学品</w:t>
      </w:r>
    </w:p>
    <w:tbl>
      <w:tblPr>
        <w:tblStyle w:val="6"/>
        <w:tblW w:w="12698" w:type="dxa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3"/>
        <w:gridCol w:w="2108"/>
        <w:gridCol w:w="1549"/>
        <w:gridCol w:w="1539"/>
        <w:gridCol w:w="1559"/>
        <w:gridCol w:w="1569"/>
        <w:gridCol w:w="1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4721" w:type="dxa"/>
            <w:gridSpan w:val="2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before="114" w:line="320" w:lineRule="exact"/>
              <w:ind w:left="103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sz w:val="22"/>
                <w:szCs w:val="22"/>
              </w:rPr>
              <w:t>生产安全事故</w:t>
            </w:r>
          </w:p>
        </w:tc>
        <w:tc>
          <w:tcPr>
            <w:tcW w:w="1539" w:type="dxa"/>
            <w:vAlign w:val="center"/>
          </w:tcPr>
          <w:p>
            <w:pPr>
              <w:spacing w:before="114" w:line="320" w:lineRule="exact"/>
              <w:ind w:left="104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3"/>
                <w:sz w:val="22"/>
                <w:szCs w:val="22"/>
              </w:rPr>
              <w:t>安全生产隐患</w:t>
            </w:r>
          </w:p>
        </w:tc>
        <w:tc>
          <w:tcPr>
            <w:tcW w:w="1559" w:type="dxa"/>
            <w:vAlign w:val="center"/>
          </w:tcPr>
          <w:p>
            <w:pPr>
              <w:spacing w:before="114" w:line="320" w:lineRule="exact"/>
              <w:ind w:left="10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1"/>
                <w:sz w:val="22"/>
                <w:szCs w:val="22"/>
              </w:rPr>
              <w:t>非法违法行为</w:t>
            </w:r>
          </w:p>
        </w:tc>
        <w:tc>
          <w:tcPr>
            <w:tcW w:w="1569" w:type="dxa"/>
            <w:vAlign w:val="center"/>
          </w:tcPr>
          <w:p>
            <w:pPr>
              <w:spacing w:before="115" w:line="320" w:lineRule="exact"/>
              <w:ind w:left="557"/>
              <w:jc w:val="both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4"/>
                <w:sz w:val="22"/>
                <w:szCs w:val="22"/>
              </w:rPr>
              <w:t>小计</w:t>
            </w:r>
          </w:p>
        </w:tc>
        <w:tc>
          <w:tcPr>
            <w:tcW w:w="1761" w:type="dxa"/>
            <w:vAlign w:val="center"/>
          </w:tcPr>
          <w:p>
            <w:pPr>
              <w:spacing w:before="115"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3"/>
                <w:sz w:val="22"/>
                <w:szCs w:val="22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613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320" w:lineRule="exact"/>
              <w:ind w:left="6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受理数量(件)</w:t>
            </w:r>
          </w:p>
        </w:tc>
        <w:tc>
          <w:tcPr>
            <w:tcW w:w="2108" w:type="dxa"/>
            <w:vAlign w:val="center"/>
          </w:tcPr>
          <w:p>
            <w:pPr>
              <w:spacing w:before="51"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实名</w:t>
            </w:r>
          </w:p>
        </w:tc>
        <w:tc>
          <w:tcPr>
            <w:tcW w:w="154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761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613" w:type="dxa"/>
            <w:vMerge w:val="continue"/>
            <w:tcBorders>
              <w:top w:val="nil"/>
            </w:tcBorders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spacing w:before="55"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匿名</w:t>
            </w:r>
          </w:p>
        </w:tc>
        <w:tc>
          <w:tcPr>
            <w:tcW w:w="154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761" w:type="dxa"/>
            <w:vMerge w:val="continue"/>
            <w:tcBorders>
              <w:top w:val="nil"/>
            </w:tcBorders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613" w:type="dxa"/>
            <w:vMerge w:val="restart"/>
            <w:tcBorders>
              <w:bottom w:val="nil"/>
            </w:tcBorders>
            <w:vAlign w:val="top"/>
          </w:tcPr>
          <w:p>
            <w:pPr>
              <w:spacing w:before="224" w:line="320" w:lineRule="exact"/>
              <w:ind w:left="6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查实数量(件)</w:t>
            </w:r>
          </w:p>
        </w:tc>
        <w:tc>
          <w:tcPr>
            <w:tcW w:w="2108" w:type="dxa"/>
            <w:vAlign w:val="center"/>
          </w:tcPr>
          <w:p>
            <w:pPr>
              <w:spacing w:before="54"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实名</w:t>
            </w:r>
          </w:p>
        </w:tc>
        <w:tc>
          <w:tcPr>
            <w:tcW w:w="154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761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613" w:type="dxa"/>
            <w:vMerge w:val="continue"/>
            <w:tcBorders>
              <w:top w:val="nil"/>
            </w:tcBorders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spacing w:before="69"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匿名</w:t>
            </w:r>
          </w:p>
        </w:tc>
        <w:tc>
          <w:tcPr>
            <w:tcW w:w="154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761" w:type="dxa"/>
            <w:vMerge w:val="continue"/>
            <w:tcBorders>
              <w:top w:val="nil"/>
            </w:tcBorders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613" w:type="dxa"/>
            <w:vMerge w:val="restart"/>
            <w:tcBorders>
              <w:bottom w:val="nil"/>
            </w:tcBorders>
            <w:vAlign w:val="top"/>
          </w:tcPr>
          <w:p>
            <w:pPr>
              <w:spacing w:before="227" w:line="320" w:lineRule="exact"/>
              <w:ind w:left="6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奖励金额(元)</w:t>
            </w:r>
          </w:p>
        </w:tc>
        <w:tc>
          <w:tcPr>
            <w:tcW w:w="2108" w:type="dxa"/>
            <w:vAlign w:val="center"/>
          </w:tcPr>
          <w:p>
            <w:pPr>
              <w:spacing w:before="58"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实名</w:t>
            </w:r>
          </w:p>
        </w:tc>
        <w:tc>
          <w:tcPr>
            <w:tcW w:w="154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761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613" w:type="dxa"/>
            <w:vMerge w:val="continue"/>
            <w:tcBorders>
              <w:top w:val="nil"/>
            </w:tcBorders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spacing w:before="62"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匿名</w:t>
            </w:r>
          </w:p>
        </w:tc>
        <w:tc>
          <w:tcPr>
            <w:tcW w:w="154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  <w:tc>
          <w:tcPr>
            <w:tcW w:w="1761" w:type="dxa"/>
            <w:vMerge w:val="continue"/>
            <w:tcBorders>
              <w:top w:val="nil"/>
            </w:tcBorders>
            <w:vAlign w:val="top"/>
          </w:tcPr>
          <w:p>
            <w:pPr>
              <w:spacing w:line="320" w:lineRule="exact"/>
              <w:rPr>
                <w:rFonts w:ascii="Arial"/>
                <w:sz w:val="21"/>
              </w:rPr>
            </w:pPr>
          </w:p>
        </w:tc>
      </w:tr>
    </w:tbl>
    <w:p>
      <w:pPr>
        <w:spacing w:before="8" w:line="320" w:lineRule="exact"/>
        <w:ind w:right="200"/>
        <w:jc w:val="both"/>
        <w:rPr>
          <w:rFonts w:hint="eastAsia" w:ascii="仿宋_GB2312" w:hAnsi="仿宋_GB2312" w:eastAsia="仿宋_GB2312" w:cs="仿宋_GB2312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填表说明：</w:t>
      </w:r>
    </w:p>
    <w:p>
      <w:pPr>
        <w:spacing w:before="8" w:line="320" w:lineRule="exact"/>
        <w:ind w:right="200"/>
        <w:jc w:val="both"/>
        <w:rPr>
          <w:rFonts w:hint="eastAsia" w:ascii="仿宋_GB2312" w:hAnsi="仿宋_GB2312" w:eastAsia="仿宋_GB2312" w:cs="仿宋_GB2312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1.按照“谁处理，谁统计”的原则，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eastAsia="zh-CN"/>
        </w:rPr>
        <w:t>区各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有关部门负责统计报送相应行业领域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eastAsia="zh-CN"/>
        </w:rPr>
        <w:t>区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本级处理的安全生产举报、奖励数据。</w:t>
      </w:r>
    </w:p>
    <w:p>
      <w:pPr>
        <w:spacing w:before="26" w:line="320" w:lineRule="exact"/>
        <w:ind w:right="278"/>
        <w:rPr>
          <w:rFonts w:hint="eastAsia" w:ascii="仿宋_GB2312" w:hAnsi="仿宋_GB2312" w:eastAsia="仿宋_GB2312" w:cs="仿宋_GB2312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eastAsia="zh-CN"/>
        </w:rPr>
        <w:t>区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各有关部门将本单位统计表通过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eastAsia="zh-CN"/>
        </w:rPr>
        <w:t>政务微信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反馈至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eastAsia="zh-CN"/>
        </w:rPr>
        <w:t>区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安委会办公室。</w:t>
      </w:r>
    </w:p>
    <w:p>
      <w:pPr>
        <w:spacing w:before="45" w:line="320" w:lineRule="exact"/>
        <w:rPr>
          <w:rFonts w:hint="eastAsia" w:ascii="仿宋_GB2312" w:hAnsi="仿宋_GB2312" w:eastAsia="仿宋_GB2312" w:cs="仿宋_GB2312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3.本汇总表以季度为统计频率，各单位于每季度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highlight w:val="none"/>
        </w:rPr>
        <w:t>后首月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highlight w:val="none"/>
        </w:rPr>
        <w:t>日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前向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eastAsia="zh-CN"/>
        </w:rPr>
        <w:t>区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安委会办公室反馈汇总表。</w:t>
      </w:r>
    </w:p>
    <w:p>
      <w:pPr>
        <w:spacing w:before="32" w:line="320" w:lineRule="exact"/>
        <w:ind w:right="29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4.本汇总表统计范围为相关行业领域安全生产举报、奖励数据，包括来电、来信、来访、网信、市民服务热线等各种举报渠道。表中“生产安全事故”系指与生产安全事故相关的举报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“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highlight w:val="none"/>
        </w:rPr>
        <w:t>安全生产隐患”系指法律法规没有明确处罚依据的安全生产隐患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“非法违法行为”系指法律法规有明确的处罚依据的行为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一件举报同时涉及“生产安全事故”“安全生产隐患”“非法违法行为”多个类目的，按主要内容统计一次，不重复统计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eastAsia="zh-CN"/>
        </w:rPr>
        <w:t>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*SimHei-5594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A5B8B"/>
    <w:rsid w:val="0C335B4B"/>
    <w:rsid w:val="2C8A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*SimHei-5594" w:hAnsi="Calibri" w:eastAsia="*SimHei-5594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上海市崇明区应急管理局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2024-01-11T10:32:00Z</dcterms:created>
  <dc:creator>Administrator</dc:creator>
  <cp:lastModifiedBy>Administrator</cp:lastModifiedBy>
  <dcterms:modified xsi:type="dcterms:W3CDTF">2024-01-11T10:32:59Z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