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CB" w:rsidRPr="00765FCB" w:rsidRDefault="00765FCB" w:rsidP="00765FCB">
      <w:pPr>
        <w:spacing w:line="560" w:lineRule="exact"/>
        <w:jc w:val="left"/>
        <w:rPr>
          <w:rFonts w:ascii="黑体" w:eastAsia="黑体" w:hAnsi="黑体" w:cs="仿宋_GB2312" w:hint="eastAsia"/>
          <w:sz w:val="32"/>
          <w:szCs w:val="32"/>
        </w:rPr>
      </w:pPr>
      <w:r w:rsidRPr="00765FCB">
        <w:rPr>
          <w:rFonts w:ascii="黑体" w:eastAsia="黑体" w:hAnsi="黑体" w:cs="仿宋_GB2312" w:hint="eastAsia"/>
          <w:sz w:val="32"/>
          <w:szCs w:val="32"/>
        </w:rPr>
        <w:t>附件：</w:t>
      </w:r>
    </w:p>
    <w:tbl>
      <w:tblPr>
        <w:tblW w:w="14542" w:type="dxa"/>
        <w:jc w:val="center"/>
        <w:tblInd w:w="78" w:type="dxa"/>
        <w:tblLayout w:type="fixed"/>
        <w:tblLook w:val="0000"/>
      </w:tblPr>
      <w:tblGrid>
        <w:gridCol w:w="894"/>
        <w:gridCol w:w="1276"/>
        <w:gridCol w:w="1985"/>
        <w:gridCol w:w="6340"/>
        <w:gridCol w:w="1349"/>
        <w:gridCol w:w="1349"/>
        <w:gridCol w:w="1349"/>
      </w:tblGrid>
      <w:tr w:rsidR="00765FCB" w:rsidRPr="00765FCB" w:rsidTr="00765FCB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14542" w:type="dxa"/>
            <w:gridSpan w:val="7"/>
            <w:tcBorders>
              <w:bottom w:val="single" w:sz="6" w:space="0" w:color="auto"/>
            </w:tcBorders>
          </w:tcPr>
          <w:p w:rsidR="00765FCB" w:rsidRPr="00765FCB" w:rsidRDefault="00765FCB" w:rsidP="00EB3FC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40"/>
                <w:szCs w:val="40"/>
              </w:rPr>
            </w:pPr>
            <w:proofErr w:type="gramStart"/>
            <w:r w:rsidRPr="00765FCB">
              <w:rPr>
                <w:rFonts w:ascii="方正小标宋简体" w:eastAsia="方正小标宋简体" w:cs="方正小标宋简体" w:hint="eastAsia"/>
                <w:color w:val="000000"/>
                <w:kern w:val="0"/>
                <w:sz w:val="44"/>
                <w:szCs w:val="44"/>
              </w:rPr>
              <w:t>崇明区</w:t>
            </w:r>
            <w:proofErr w:type="gramEnd"/>
            <w:r w:rsidRPr="00765FCB">
              <w:rPr>
                <w:rFonts w:ascii="方正小标宋简体" w:eastAsia="方正小标宋简体" w:cs="方正小标宋简体" w:hint="eastAsia"/>
                <w:color w:val="000000"/>
                <w:kern w:val="0"/>
                <w:sz w:val="44"/>
                <w:szCs w:val="44"/>
              </w:rPr>
              <w:t>市场</w:t>
            </w:r>
            <w:r w:rsidR="00EB3FC0">
              <w:rPr>
                <w:rFonts w:ascii="方正小标宋简体" w:eastAsia="方正小标宋简体" w:cs="方正小标宋简体" w:hint="eastAsia"/>
                <w:color w:val="000000"/>
                <w:kern w:val="0"/>
                <w:sz w:val="44"/>
                <w:szCs w:val="44"/>
              </w:rPr>
              <w:t>监督管理</w:t>
            </w:r>
            <w:r w:rsidRPr="00765FCB">
              <w:rPr>
                <w:rFonts w:ascii="方正小标宋简体" w:eastAsia="方正小标宋简体" w:cs="方正小标宋简体" w:hint="eastAsia"/>
                <w:color w:val="000000"/>
                <w:kern w:val="0"/>
                <w:sz w:val="44"/>
                <w:szCs w:val="44"/>
              </w:rPr>
              <w:t>局行政业务</w:t>
            </w:r>
            <w:r w:rsidRPr="00765FCB">
              <w:rPr>
                <w:rFonts w:asci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2019</w:t>
            </w:r>
            <w:r w:rsidRPr="00765FCB">
              <w:rPr>
                <w:rFonts w:ascii="方正小标宋简体" w:eastAsia="方正小标宋简体" w:cs="方正小标宋简体" w:hint="eastAsia"/>
                <w:color w:val="000000"/>
                <w:kern w:val="0"/>
                <w:sz w:val="44"/>
                <w:szCs w:val="44"/>
              </w:rPr>
              <w:t>年重点工作项目表</w:t>
            </w:r>
          </w:p>
        </w:tc>
      </w:tr>
      <w:tr w:rsidR="00765FCB" w:rsidRPr="00765FCB" w:rsidTr="00A00FC9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765FCB">
              <w:rPr>
                <w:rFonts w:ascii="黑体" w:eastAsia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765FCB">
              <w:rPr>
                <w:rFonts w:ascii="黑体" w:eastAsia="黑体" w:cs="黑体" w:hint="eastAsia"/>
                <w:color w:val="000000"/>
                <w:kern w:val="0"/>
                <w:sz w:val="24"/>
              </w:rPr>
              <w:t>工作领域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765FCB">
              <w:rPr>
                <w:rFonts w:ascii="黑体" w:eastAsia="黑体" w:cs="黑体" w:hint="eastAsia"/>
                <w:color w:val="000000"/>
                <w:kern w:val="0"/>
                <w:sz w:val="24"/>
              </w:rPr>
              <w:t>重点工作项目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765FCB">
              <w:rPr>
                <w:rFonts w:ascii="黑体" w:eastAsia="黑体" w:cs="黑体" w:hint="eastAsia"/>
                <w:color w:val="000000"/>
                <w:kern w:val="0"/>
                <w:sz w:val="24"/>
              </w:rPr>
              <w:t>节点计划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765FCB">
              <w:rPr>
                <w:rFonts w:ascii="黑体" w:eastAsia="黑体" w:cs="黑体" w:hint="eastAsia"/>
                <w:color w:val="000000"/>
                <w:kern w:val="0"/>
                <w:sz w:val="24"/>
              </w:rPr>
              <w:t>分管领导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765FCB">
              <w:rPr>
                <w:rFonts w:ascii="黑体" w:eastAsia="黑体" w:cs="黑体" w:hint="eastAsia"/>
                <w:color w:val="000000"/>
                <w:kern w:val="0"/>
                <w:sz w:val="24"/>
              </w:rPr>
              <w:t>牵头部门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765FCB">
              <w:rPr>
                <w:rFonts w:ascii="黑体" w:eastAsia="黑体" w:cs="黑体" w:hint="eastAsia"/>
                <w:color w:val="000000"/>
                <w:kern w:val="0"/>
                <w:sz w:val="24"/>
              </w:rPr>
              <w:t>配合部门</w:t>
            </w:r>
          </w:p>
        </w:tc>
      </w:tr>
      <w:tr w:rsidR="00765FCB" w:rsidRPr="00765FCB" w:rsidTr="00A00FC9">
        <w:tblPrEx>
          <w:tblCellMar>
            <w:top w:w="0" w:type="dxa"/>
            <w:bottom w:w="0" w:type="dxa"/>
          </w:tblCellMar>
        </w:tblPrEx>
        <w:trPr>
          <w:trHeight w:val="2798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营造宽松便捷营商环境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深化商</w:t>
            </w:r>
            <w:proofErr w:type="gramEnd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事制度改革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一季度在全区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18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个基层所正式实施“证照联办”；试点实施全程电子化登记工作。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二季度参与制定《“开心农场”项目开办一本通》和《民宿项目开办一本通》；总结、反馈、解决全程电子化登记遇到的问题。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三季度在全区经济园区内铺开全程电子化登记；开展基层所行政许可档案抽查、窗口人员业务督导。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四季度与税务部门共同推进企业准入新举措；完成行政服务中心东部分中心许可窗口进驻工作。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宋仲雄</w:t>
            </w:r>
            <w:proofErr w:type="gramEnd"/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注册</w:t>
            </w: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许可科</w:t>
            </w:r>
            <w:proofErr w:type="gramEnd"/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765FCB" w:rsidRPr="00765FCB" w:rsidTr="00A00FC9">
        <w:tblPrEx>
          <w:tblCellMar>
            <w:top w:w="0" w:type="dxa"/>
            <w:bottom w:w="0" w:type="dxa"/>
          </w:tblCellMar>
        </w:tblPrEx>
        <w:trPr>
          <w:trHeight w:val="2798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坚决守好各大安全底线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完善食品安全工作机制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一季度建立应急</w:t>
            </w: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处置崇启海</w:t>
            </w:r>
            <w:proofErr w:type="gramEnd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联动机制；进一步完善行刑衔接工作机制。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二季度组织开展食物中毒调查员培训考核、应急处置方案制定等筹备工作；梳理重点领域、重点品种组织开展联合执法检查。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三季度组织开展以农村办酒引发食品安全事故为背景</w:t>
            </w: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的崇启海</w:t>
            </w:r>
            <w:proofErr w:type="gramEnd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食物中毒应急处置联合演练；开展重点领域、重点品种联合执法检查。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四季度查遗补缺，巩固提高。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吴健春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协调科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食品经营科、食品生产科、公平交易科</w:t>
            </w:r>
          </w:p>
        </w:tc>
      </w:tr>
      <w:tr w:rsidR="00765FCB" w:rsidRPr="00765FCB" w:rsidTr="00A00FC9">
        <w:tblPrEx>
          <w:tblCellMar>
            <w:top w:w="0" w:type="dxa"/>
            <w:bottom w:w="0" w:type="dxa"/>
          </w:tblCellMar>
        </w:tblPrEx>
        <w:trPr>
          <w:trHeight w:val="2539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</w:pP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推进食品生产、经营单位示范</w:t>
            </w: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化创建</w:t>
            </w:r>
            <w:proofErr w:type="gramEnd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项目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创建“上海市食品安全诚信企业”“守信超市”“放心肉菜示范超市”“放心餐厅”“放心学校食堂”“放心医院食堂”。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-3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月动员阶段：明确创建目标、创建标准与实施步骤。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4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-5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月培训阶段：对创建对象就创建标准开展培训。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6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-9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月指导整改阶段：开展检查、指导与整改。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10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-12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月创建达标评估：开展初评与复评工作。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黄云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食品生产科、食品经营科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88504F" w:rsidRPr="00765FCB" w:rsidTr="00974348">
        <w:tblPrEx>
          <w:tblCellMar>
            <w:top w:w="0" w:type="dxa"/>
            <w:bottom w:w="0" w:type="dxa"/>
          </w:tblCellMar>
        </w:tblPrEx>
        <w:trPr>
          <w:trHeight w:val="1498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坚决守好各大安全底线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推进餐饮单位“明厨亮灶”项目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-3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月前期准备阶段：安装对象排摸，制定安装计划；</w:t>
            </w:r>
          </w:p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4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-9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月督促安装阶段：根据安装计划开展安装工作；</w:t>
            </w:r>
          </w:p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9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-12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月安装使用检查：对安装与使用情况开展验收、检查。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黄云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食品经营科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88504F" w:rsidRPr="00765FCB" w:rsidTr="00974348">
        <w:tblPrEx>
          <w:tblCellMar>
            <w:top w:w="0" w:type="dxa"/>
            <w:bottom w:w="0" w:type="dxa"/>
          </w:tblCellMar>
        </w:tblPrEx>
        <w:trPr>
          <w:trHeight w:val="1644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探索创新化妆品使用单位有效监管措施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一季度制定完成调查方案。</w:t>
            </w:r>
          </w:p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二季度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5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月前完成调查，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6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月前完成调查报告，同时明确重点监管对象。</w:t>
            </w:r>
          </w:p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三季度制定落实创新措施。</w:t>
            </w:r>
          </w:p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四季度工作总结，力求取得初步成效。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吴健春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药化科</w:t>
            </w:r>
            <w:proofErr w:type="gramEnd"/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88504F" w:rsidRPr="00765FCB" w:rsidTr="00974348">
        <w:tblPrEx>
          <w:tblCellMar>
            <w:top w:w="0" w:type="dxa"/>
            <w:bottom w:w="0" w:type="dxa"/>
          </w:tblCellMar>
        </w:tblPrEx>
        <w:trPr>
          <w:trHeight w:val="1464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深入推进医疗器械不良事件监测工作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不良事件监测主体对新办法的学习培训，监测主体注册率达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100%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；指导督促上报工作，确保报告质量；不良事件报告一季度不少于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20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例，二、三、四季度各不少于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40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例，全年确保完成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140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例以上（每百万人口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200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例）。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吴健春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医疗器械科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04F" w:rsidRPr="00765FCB" w:rsidRDefault="0088504F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765FCB" w:rsidRPr="00765FCB" w:rsidTr="00A00FC9">
        <w:tblPrEx>
          <w:tblCellMar>
            <w:top w:w="0" w:type="dxa"/>
            <w:bottom w:w="0" w:type="dxa"/>
          </w:tblCellMar>
        </w:tblPrEx>
        <w:trPr>
          <w:trHeight w:val="2249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推进智慧电梯项目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一季度走访相关区局开展调研工作，并对本区住宅电梯进行排摸，建立台账。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二季度撰写本区智慧电梯实施工作方案，委托相关资质单位开展电梯评估。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三季度完成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37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台老旧住宅电梯安全评估。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四季度完成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42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台电梯加装远程监控，选择</w:t>
            </w: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小区开展智慧电梯试点，撰写年度工作总结。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倪超利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特种科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765FCB" w:rsidRPr="00765FCB" w:rsidTr="00A00FC9">
        <w:tblPrEx>
          <w:tblCellMar>
            <w:top w:w="0" w:type="dxa"/>
            <w:bottom w:w="0" w:type="dxa"/>
          </w:tblCellMar>
        </w:tblPrEx>
        <w:trPr>
          <w:trHeight w:val="1224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推进“放心消费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+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”创建活动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一季度完成申报单位的创建指导提升。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二季度完成申报单位的考核验收。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三季度完成该活动的表彰总结。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高捷峰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消保科</w:t>
            </w:r>
            <w:proofErr w:type="gramEnd"/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A00FC9" w:rsidRPr="00765FCB" w:rsidTr="00974348">
        <w:tblPrEx>
          <w:tblCellMar>
            <w:top w:w="0" w:type="dxa"/>
            <w:bottom w:w="0" w:type="dxa"/>
          </w:tblCellMar>
        </w:tblPrEx>
        <w:trPr>
          <w:trHeight w:val="1481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维护市场公平竞争秩序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开展扫黑除恶、打传</w:t>
            </w: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规</w:t>
            </w:r>
            <w:proofErr w:type="gramEnd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直专项行动，推进违法违规经营综合治理工作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一季度计划部署。</w:t>
            </w:r>
          </w:p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二季度推进落实。</w:t>
            </w:r>
          </w:p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三季度汇报总结。</w:t>
            </w:r>
          </w:p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四季度考核督查。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高捷峰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公平交易科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A00FC9" w:rsidRPr="00765FCB" w:rsidTr="00974348">
        <w:tblPrEx>
          <w:tblCellMar>
            <w:top w:w="0" w:type="dxa"/>
            <w:bottom w:w="0" w:type="dxa"/>
          </w:tblCellMar>
        </w:tblPrEx>
        <w:trPr>
          <w:trHeight w:val="1042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探索行政执法案卷集中评查监督新模式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二季度组织实施上半年度集中评查。</w:t>
            </w:r>
          </w:p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四季度组织实施下半年度集中评查。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高捷峰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法规科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A00FC9" w:rsidRPr="00765FCB" w:rsidTr="00974348">
        <w:tblPrEx>
          <w:tblCellMar>
            <w:top w:w="0" w:type="dxa"/>
            <w:bottom w:w="0" w:type="dxa"/>
          </w:tblCellMar>
        </w:tblPrEx>
        <w:trPr>
          <w:trHeight w:val="3127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推进企业年报和长期未经营企业清理工作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一季度加强宣传培训，年报工作争取完成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50%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，结合年报工作，梳理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2017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年底前成立的长期未经营企业，</w:t>
            </w: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启动吊照工作</w:t>
            </w:r>
            <w:proofErr w:type="gramEnd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。</w:t>
            </w:r>
          </w:p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二季度深化统计通报和督导，完成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2017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年底前成立的长期未经营企业的吊照，企业年报完成率实现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90%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以上。</w:t>
            </w:r>
          </w:p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三季度完成</w:t>
            </w: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未年</w:t>
            </w:r>
            <w:proofErr w:type="gramEnd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报</w:t>
            </w: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企业列异工作</w:t>
            </w:r>
            <w:proofErr w:type="gramEnd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，开展年报数据分析，梳理形成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2018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年成立的长期未经营企业名录，探索开展长期未经营农民专业合作社</w:t>
            </w: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的吊照工作</w:t>
            </w:r>
            <w:proofErr w:type="gramEnd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。</w:t>
            </w:r>
          </w:p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四季度完成长期未经营企业名录与税务部门的数据交换和匹配，开展新</w:t>
            </w: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一轮清吊工作</w:t>
            </w:r>
            <w:proofErr w:type="gramEnd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高捷峰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市场主体科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765FCB" w:rsidRPr="00765FCB" w:rsidTr="00A00FC9">
        <w:tblPrEx>
          <w:tblCellMar>
            <w:top w:w="0" w:type="dxa"/>
            <w:bottom w:w="0" w:type="dxa"/>
          </w:tblCellMar>
        </w:tblPrEx>
        <w:trPr>
          <w:trHeight w:val="2285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营造公平竞争网络市场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-3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月动员阶段：制定目标、计划。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4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-6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月集中培训与自学阶段：依照国家法律法规、国家局、市局网上办理证照规章与规范性文件，结合监管目标，积极开展宣传培训工作。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7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-9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月集中整治阶段：开展检查指导，实施清理与处罚。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10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-12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月巩固提高阶段：迎接检查，净化网络市场。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黄云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市场规范科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注册</w:t>
            </w: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许可科</w:t>
            </w:r>
            <w:proofErr w:type="gramEnd"/>
          </w:p>
        </w:tc>
      </w:tr>
      <w:tr w:rsidR="00A00FC9" w:rsidRPr="00765FCB" w:rsidTr="00974348">
        <w:tblPrEx>
          <w:tblCellMar>
            <w:top w:w="0" w:type="dxa"/>
            <w:bottom w:w="0" w:type="dxa"/>
          </w:tblCellMar>
        </w:tblPrEx>
        <w:trPr>
          <w:trHeight w:val="1553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打造高质量发展新高地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深入开展质量提升行动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一季度制定年度</w:t>
            </w: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区质量</w:t>
            </w:r>
            <w:proofErr w:type="gramEnd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提升行动计划。</w:t>
            </w:r>
          </w:p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二季度推动区政府与市市场监管局签订《关于深化质量提升行动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助推世界级生态岛建设的合作协议》。</w:t>
            </w:r>
          </w:p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三季度开展“质量月”活动。</w:t>
            </w:r>
          </w:p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四季度启动第二届区长质量奖评选工作。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倪超利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质量科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A00FC9" w:rsidRPr="00765FCB" w:rsidTr="00974348">
        <w:tblPrEx>
          <w:tblCellMar>
            <w:top w:w="0" w:type="dxa"/>
            <w:bottom w:w="0" w:type="dxa"/>
          </w:tblCellMar>
        </w:tblPrEx>
        <w:trPr>
          <w:trHeight w:val="1370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推进商标品牌指导站建设工作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一、二季度开展前期调研和商标品牌指导站选点工作。</w:t>
            </w:r>
          </w:p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三季度指导建设主体开展相关的基础建设工作，对建成的商标品牌指导站进行验收，并做好挂牌工作，年内确保完成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个指导站设立。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倪超利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商广科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FC9" w:rsidRPr="00765FCB" w:rsidRDefault="00A00FC9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765FCB" w:rsidRPr="00765FCB" w:rsidTr="00A00FC9">
        <w:tblPrEx>
          <w:tblCellMar>
            <w:top w:w="0" w:type="dxa"/>
            <w:bottom w:w="0" w:type="dxa"/>
          </w:tblCellMar>
        </w:tblPrEx>
        <w:trPr>
          <w:trHeight w:val="1606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深入推进辖区内安全计量监管工作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一季度完成厘清安全计量监管底数。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二季度加大监管和查处力度，重点查处使用超周期及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不合格安全防护用计量器具的违法行为。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三季度完成学校安全计量自我承诺。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四季度组织开展安全计量领域推进工作的专项抽查。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宋仲雄</w:t>
            </w:r>
            <w:proofErr w:type="gramEnd"/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计量科</w:t>
            </w:r>
            <w:proofErr w:type="gramEnd"/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765FCB" w:rsidRPr="00765FCB" w:rsidTr="00A00FC9">
        <w:tblPrEx>
          <w:tblCellMar>
            <w:top w:w="0" w:type="dxa"/>
            <w:bottom w:w="0" w:type="dxa"/>
          </w:tblCellMar>
        </w:tblPrEx>
        <w:trPr>
          <w:trHeight w:val="2138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推进国家级农村综合改革标准化试点、农业标准化示范区创建工作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第二批农村综合改革标准化试点及</w:t>
            </w: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2</w:t>
            </w: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个国家级第九批农业标准化示范区创建：一季度对全年创建工作进行部署；二季度初步完成考核验收准备工作；三季度查漏补缺、持续改进；四季度完成考核验收及材料上报工作。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第三批农村综合改革标准化试点：一季度完成项目启动工作；二、三季度初步形成标准体系框架；四季度完成年度创建工作。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倪超利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标准化科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765FCB" w:rsidRPr="00765FCB" w:rsidTr="00A00FC9">
        <w:tblPrEx>
          <w:tblCellMar>
            <w:top w:w="0" w:type="dxa"/>
            <w:bottom w:w="0" w:type="dxa"/>
          </w:tblCellMar>
        </w:tblPrEx>
        <w:trPr>
          <w:trHeight w:val="1315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创建国家级有机认证示范区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一季度联络各相关单位，成立创建国家有机认证示范区领导小组，并对创建工作进行部署。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二季度初步完成创建准备工作。</w:t>
            </w:r>
          </w:p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三季度完善各项创建工作并完成示范区申报工作。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吴健春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  <w:proofErr w:type="gramStart"/>
            <w:r w:rsidRPr="00765FCB">
              <w:rPr>
                <w:rFonts w:ascii="仿宋_GB2312" w:eastAsia="仿宋_GB2312" w:cs="仿宋_GB2312" w:hint="eastAsia"/>
                <w:color w:val="000000"/>
                <w:kern w:val="0"/>
                <w:sz w:val="26"/>
                <w:szCs w:val="26"/>
              </w:rPr>
              <w:t>认证科</w:t>
            </w:r>
            <w:proofErr w:type="gramEnd"/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FCB" w:rsidRPr="00765FCB" w:rsidRDefault="00765FCB" w:rsidP="00A00FC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</w:tbl>
    <w:p w:rsidR="00765FCB" w:rsidRDefault="00765FCB" w:rsidP="00765FC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157D4" w:rsidRDefault="002157D4" w:rsidP="00765FC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157D4" w:rsidRDefault="002157D4" w:rsidP="00765FC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157D4" w:rsidRDefault="002157D4" w:rsidP="00765FC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157D4" w:rsidRDefault="002157D4" w:rsidP="00765FC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54AF7" w:rsidRDefault="00554AF7" w:rsidP="00765FC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554AF7" w:rsidSect="00554AF7">
      <w:pgSz w:w="16838" w:h="11906" w:orient="landscape"/>
      <w:pgMar w:top="1588" w:right="2098" w:bottom="1474" w:left="1985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0D0" w:rsidRDefault="003050D0">
      <w:r>
        <w:separator/>
      </w:r>
    </w:p>
  </w:endnote>
  <w:endnote w:type="continuationSeparator" w:id="0">
    <w:p w:rsidR="003050D0" w:rsidRDefault="00305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0D0" w:rsidRDefault="003050D0">
      <w:r>
        <w:separator/>
      </w:r>
    </w:p>
  </w:footnote>
  <w:footnote w:type="continuationSeparator" w:id="0">
    <w:p w:rsidR="003050D0" w:rsidRDefault="003050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8D2"/>
    <w:rsid w:val="00031E9E"/>
    <w:rsid w:val="002157D4"/>
    <w:rsid w:val="003050D0"/>
    <w:rsid w:val="00554AF7"/>
    <w:rsid w:val="00650538"/>
    <w:rsid w:val="006D1306"/>
    <w:rsid w:val="00765FCB"/>
    <w:rsid w:val="0088504F"/>
    <w:rsid w:val="008A4DF5"/>
    <w:rsid w:val="00974348"/>
    <w:rsid w:val="00A00FC9"/>
    <w:rsid w:val="00A01231"/>
    <w:rsid w:val="00B268D2"/>
    <w:rsid w:val="00B51762"/>
    <w:rsid w:val="00E377B4"/>
    <w:rsid w:val="00EB3FC0"/>
    <w:rsid w:val="0A407E3F"/>
    <w:rsid w:val="0C6D669C"/>
    <w:rsid w:val="0C730170"/>
    <w:rsid w:val="0EE605B8"/>
    <w:rsid w:val="0F866047"/>
    <w:rsid w:val="166A0F8C"/>
    <w:rsid w:val="1EC2795F"/>
    <w:rsid w:val="1ECD024D"/>
    <w:rsid w:val="20157A70"/>
    <w:rsid w:val="22A01BC4"/>
    <w:rsid w:val="23C00A41"/>
    <w:rsid w:val="24B90D5F"/>
    <w:rsid w:val="275620C9"/>
    <w:rsid w:val="27F7412C"/>
    <w:rsid w:val="284412B3"/>
    <w:rsid w:val="2AEC2861"/>
    <w:rsid w:val="2D876DCA"/>
    <w:rsid w:val="2F286EC5"/>
    <w:rsid w:val="34C67D73"/>
    <w:rsid w:val="390A69F8"/>
    <w:rsid w:val="3CFA128A"/>
    <w:rsid w:val="3EF957A0"/>
    <w:rsid w:val="411A7464"/>
    <w:rsid w:val="469A3372"/>
    <w:rsid w:val="487F3971"/>
    <w:rsid w:val="4CED0D4F"/>
    <w:rsid w:val="4EA84C5B"/>
    <w:rsid w:val="4FE65974"/>
    <w:rsid w:val="57BC3A20"/>
    <w:rsid w:val="5C695344"/>
    <w:rsid w:val="60670DB2"/>
    <w:rsid w:val="667E089F"/>
    <w:rsid w:val="680D498E"/>
    <w:rsid w:val="6C874A44"/>
    <w:rsid w:val="6CB432BD"/>
    <w:rsid w:val="6DBC6CE5"/>
    <w:rsid w:val="6EC37E4A"/>
    <w:rsid w:val="6FEC43C2"/>
    <w:rsid w:val="70154625"/>
    <w:rsid w:val="70FF2CDA"/>
    <w:rsid w:val="7A8F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Char0"/>
    <w:rsid w:val="00EB3FC0"/>
    <w:rPr>
      <w:sz w:val="18"/>
      <w:szCs w:val="18"/>
    </w:rPr>
  </w:style>
  <w:style w:type="character" w:customStyle="1" w:styleId="Char0">
    <w:name w:val="批注框文本 Char"/>
    <w:basedOn w:val="a0"/>
    <w:link w:val="a5"/>
    <w:rsid w:val="00EB3FC0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2157D4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381</Words>
  <Characters>2173</Characters>
  <Application>Microsoft Office Word</Application>
  <DocSecurity>0</DocSecurity>
  <Lines>18</Lines>
  <Paragraphs>5</Paragraphs>
  <ScaleCrop>false</ScaleCrop>
  <Company>微软中国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施畅</cp:lastModifiedBy>
  <cp:revision>3</cp:revision>
  <cp:lastPrinted>2019-02-22T07:55:00Z</cp:lastPrinted>
  <dcterms:created xsi:type="dcterms:W3CDTF">2019-03-12T07:27:00Z</dcterms:created>
  <dcterms:modified xsi:type="dcterms:W3CDTF">2019-03-12T07:28:00Z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