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07242">
      <w:pPr>
        <w:spacing w:line="560" w:lineRule="exact"/>
        <w:ind w:firstLine="0" w:firstLineChars="0"/>
        <w:jc w:val="both"/>
        <w:rPr>
          <w:rFonts w:hint="default" w:ascii="黑体" w:hAnsi="黑体" w:eastAsia="黑体" w:cs="黑体"/>
          <w:color w:val="auto"/>
          <w:sz w:val="52"/>
          <w:szCs w:val="52"/>
          <w:highlight w:val="none"/>
          <w:lang w:val="en-US" w:eastAsia="zh-CN"/>
        </w:rPr>
      </w:pPr>
    </w:p>
    <w:p w14:paraId="746B788B">
      <w:pPr>
        <w:spacing w:line="560" w:lineRule="exact"/>
        <w:ind w:firstLine="0" w:firstLineChars="0"/>
        <w:jc w:val="center"/>
        <w:rPr>
          <w:rFonts w:hint="eastAsia" w:ascii="黑体" w:hAnsi="黑体" w:eastAsia="黑体" w:cs="黑体"/>
          <w:color w:val="auto"/>
          <w:sz w:val="52"/>
          <w:szCs w:val="52"/>
          <w:highlight w:val="none"/>
        </w:rPr>
      </w:pPr>
    </w:p>
    <w:p w14:paraId="2A02BEDF">
      <w:pPr>
        <w:spacing w:line="560" w:lineRule="exact"/>
        <w:ind w:firstLine="0" w:firstLineChars="0"/>
        <w:jc w:val="center"/>
        <w:rPr>
          <w:rFonts w:hint="eastAsia" w:ascii="黑体" w:hAnsi="黑体" w:eastAsia="黑体" w:cs="黑体"/>
          <w:color w:val="auto"/>
          <w:sz w:val="52"/>
          <w:szCs w:val="52"/>
          <w:highlight w:val="none"/>
        </w:rPr>
      </w:pPr>
    </w:p>
    <w:p w14:paraId="7110CF51">
      <w:pPr>
        <w:spacing w:line="560" w:lineRule="exact"/>
        <w:ind w:firstLine="0" w:firstLineChars="0"/>
        <w:jc w:val="center"/>
        <w:rPr>
          <w:rFonts w:hint="eastAsia" w:ascii="黑体" w:hAnsi="黑体" w:eastAsia="黑体" w:cs="黑体"/>
          <w:color w:val="auto"/>
          <w:sz w:val="52"/>
          <w:szCs w:val="52"/>
          <w:highlight w:val="none"/>
        </w:rPr>
      </w:pPr>
    </w:p>
    <w:p w14:paraId="2391225A">
      <w:pPr>
        <w:spacing w:line="560" w:lineRule="exact"/>
        <w:ind w:firstLine="0" w:firstLineChars="0"/>
        <w:jc w:val="center"/>
        <w:rPr>
          <w:rFonts w:hint="eastAsia" w:ascii="黑体" w:hAnsi="黑体" w:eastAsia="黑体" w:cs="黑体"/>
          <w:color w:val="auto"/>
          <w:sz w:val="52"/>
          <w:szCs w:val="52"/>
          <w:highlight w:val="none"/>
          <w:lang w:val="en-US" w:eastAsia="zh-CN"/>
        </w:rPr>
      </w:pPr>
      <w:r>
        <w:rPr>
          <w:rFonts w:hint="eastAsia" w:ascii="方正小标宋简体" w:hAnsi="方正小标宋简体" w:eastAsia="方正小标宋简体" w:cs="方正小标宋简体"/>
          <w:color w:val="auto"/>
          <w:sz w:val="48"/>
          <w:szCs w:val="48"/>
          <w:highlight w:val="none"/>
        </w:rPr>
        <w:t>崇明区</w:t>
      </w:r>
      <w:bookmarkStart w:id="0" w:name="_Toc720583363"/>
      <w:r>
        <w:rPr>
          <w:rFonts w:hint="eastAsia" w:ascii="方正小标宋简体" w:hAnsi="方正小标宋简体" w:eastAsia="方正小标宋简体" w:cs="方正小标宋简体"/>
          <w:color w:val="auto"/>
          <w:sz w:val="48"/>
          <w:szCs w:val="48"/>
          <w:highlight w:val="none"/>
          <w:lang w:val="en-US" w:eastAsia="zh-CN"/>
        </w:rPr>
        <w:t>推进乡村全面振兴“十五五”规划</w:t>
      </w:r>
    </w:p>
    <w:p w14:paraId="4BB6F908">
      <w:pPr>
        <w:spacing w:line="560" w:lineRule="exact"/>
        <w:ind w:firstLine="0" w:firstLineChars="0"/>
        <w:jc w:val="center"/>
        <w:rPr>
          <w:rFonts w:hint="eastAsia" w:ascii="黑体" w:hAnsi="黑体" w:eastAsia="黑体" w:cs="黑体"/>
          <w:color w:val="auto"/>
          <w:sz w:val="52"/>
          <w:szCs w:val="52"/>
          <w:highlight w:val="none"/>
          <w:lang w:val="en-US" w:eastAsia="zh-CN"/>
        </w:rPr>
      </w:pPr>
    </w:p>
    <w:p w14:paraId="2F0A6193">
      <w:pPr>
        <w:spacing w:line="560" w:lineRule="exact"/>
        <w:ind w:firstLine="0" w:firstLineChars="0"/>
        <w:jc w:val="center"/>
        <w:rPr>
          <w:rFonts w:hint="eastAsia" w:ascii="黑体" w:hAnsi="黑体" w:eastAsia="黑体" w:cs="黑体"/>
          <w:color w:val="auto"/>
          <w:sz w:val="52"/>
          <w:szCs w:val="52"/>
          <w:highlight w:val="none"/>
          <w:lang w:val="en-US" w:eastAsia="zh-CN"/>
        </w:rPr>
      </w:pPr>
    </w:p>
    <w:p w14:paraId="46762F05">
      <w:pPr>
        <w:spacing w:line="560" w:lineRule="exact"/>
        <w:ind w:firstLine="0" w:firstLineChars="0"/>
        <w:jc w:val="center"/>
        <w:rPr>
          <w:rFonts w:hint="eastAsia" w:ascii="黑体" w:hAnsi="黑体" w:eastAsia="黑体" w:cs="黑体"/>
          <w:color w:val="auto"/>
          <w:sz w:val="52"/>
          <w:szCs w:val="52"/>
          <w:highlight w:val="none"/>
          <w:lang w:val="en-US" w:eastAsia="zh-CN"/>
        </w:rPr>
      </w:pPr>
      <w:r>
        <w:rPr>
          <w:rFonts w:hint="eastAsia" w:ascii="楷体_GB2312" w:hAnsi="楷体_GB2312" w:eastAsia="楷体_GB2312" w:cs="楷体_GB2312"/>
          <w:color w:val="auto"/>
          <w:sz w:val="36"/>
          <w:szCs w:val="36"/>
          <w:highlight w:val="none"/>
          <w:lang w:val="en-US" w:eastAsia="zh-CN"/>
        </w:rPr>
        <w:t>（草案）</w:t>
      </w:r>
    </w:p>
    <w:bookmarkEnd w:id="0"/>
    <w:p w14:paraId="53A34FF4">
      <w:pPr>
        <w:spacing w:line="560" w:lineRule="exact"/>
        <w:ind w:firstLine="0" w:firstLineChars="0"/>
        <w:jc w:val="center"/>
        <w:outlineLvl w:val="0"/>
        <w:rPr>
          <w:rFonts w:ascii="黑体" w:hAnsi="黑体" w:eastAsia="黑体" w:cs="DejaVu Sans"/>
          <w:color w:val="auto"/>
          <w:sz w:val="52"/>
          <w:szCs w:val="52"/>
          <w:highlight w:val="none"/>
        </w:rPr>
      </w:pPr>
    </w:p>
    <w:p w14:paraId="2FFDCBA0">
      <w:pPr>
        <w:spacing w:line="560" w:lineRule="exact"/>
        <w:ind w:firstLine="0" w:firstLineChars="0"/>
        <w:jc w:val="center"/>
        <w:outlineLvl w:val="0"/>
        <w:rPr>
          <w:rFonts w:ascii="黑体" w:hAnsi="黑体" w:eastAsia="黑体" w:cs="DejaVu Sans"/>
          <w:color w:val="auto"/>
          <w:sz w:val="52"/>
          <w:szCs w:val="52"/>
          <w:highlight w:val="none"/>
        </w:rPr>
      </w:pPr>
    </w:p>
    <w:p w14:paraId="25FE2143">
      <w:pPr>
        <w:spacing w:line="560" w:lineRule="exact"/>
        <w:ind w:firstLine="0" w:firstLineChars="0"/>
        <w:rPr>
          <w:rFonts w:ascii="黑体" w:hAnsi="黑体" w:eastAsia="黑体" w:cs="DejaVu Sans"/>
          <w:color w:val="auto"/>
          <w:sz w:val="52"/>
          <w:szCs w:val="52"/>
          <w:highlight w:val="none"/>
        </w:rPr>
      </w:pPr>
    </w:p>
    <w:p w14:paraId="2258BDE8">
      <w:pPr>
        <w:spacing w:line="560" w:lineRule="exact"/>
        <w:ind w:firstLine="0" w:firstLineChars="0"/>
        <w:jc w:val="center"/>
        <w:rPr>
          <w:rFonts w:ascii="黑体" w:hAnsi="黑体" w:eastAsia="黑体" w:cs="DejaVu Sans"/>
          <w:color w:val="auto"/>
          <w:sz w:val="52"/>
          <w:szCs w:val="52"/>
          <w:highlight w:val="none"/>
        </w:rPr>
      </w:pPr>
    </w:p>
    <w:p w14:paraId="6B2A923A">
      <w:pPr>
        <w:spacing w:line="560" w:lineRule="exact"/>
        <w:ind w:firstLine="0" w:firstLineChars="0"/>
        <w:jc w:val="center"/>
        <w:rPr>
          <w:rFonts w:ascii="黑体" w:hAnsi="黑体" w:eastAsia="黑体" w:cs="DejaVu Sans"/>
          <w:color w:val="auto"/>
          <w:sz w:val="52"/>
          <w:szCs w:val="52"/>
          <w:highlight w:val="none"/>
        </w:rPr>
      </w:pPr>
    </w:p>
    <w:p w14:paraId="51F0B09E">
      <w:pPr>
        <w:spacing w:line="560" w:lineRule="exact"/>
        <w:ind w:firstLine="0" w:firstLineChars="0"/>
        <w:jc w:val="center"/>
        <w:rPr>
          <w:rFonts w:ascii="黑体" w:hAnsi="黑体" w:eastAsia="黑体" w:cs="DejaVu Sans"/>
          <w:color w:val="auto"/>
          <w:sz w:val="52"/>
          <w:szCs w:val="52"/>
          <w:highlight w:val="none"/>
        </w:rPr>
      </w:pPr>
    </w:p>
    <w:p w14:paraId="2523CDCF">
      <w:pPr>
        <w:spacing w:line="560" w:lineRule="exact"/>
        <w:ind w:firstLine="0" w:firstLineChars="0"/>
        <w:jc w:val="center"/>
        <w:rPr>
          <w:rFonts w:ascii="黑体" w:hAnsi="黑体" w:eastAsia="黑体" w:cs="DejaVu Sans"/>
          <w:color w:val="auto"/>
          <w:sz w:val="52"/>
          <w:szCs w:val="52"/>
          <w:highlight w:val="none"/>
        </w:rPr>
      </w:pPr>
    </w:p>
    <w:p w14:paraId="5BE1DEFD">
      <w:pPr>
        <w:pStyle w:val="9"/>
        <w:rPr>
          <w:rFonts w:ascii="黑体" w:hAnsi="黑体" w:eastAsia="黑体" w:cs="DejaVu Sans"/>
          <w:color w:val="auto"/>
          <w:sz w:val="52"/>
          <w:szCs w:val="52"/>
          <w:highlight w:val="none"/>
        </w:rPr>
      </w:pPr>
    </w:p>
    <w:p w14:paraId="4CA3858E"/>
    <w:p w14:paraId="22AC7B21">
      <w:pPr>
        <w:pStyle w:val="2"/>
      </w:pPr>
    </w:p>
    <w:p w14:paraId="6DC45226">
      <w:pPr>
        <w:spacing w:line="560" w:lineRule="exact"/>
        <w:ind w:firstLine="0" w:firstLineChars="0"/>
        <w:jc w:val="center"/>
        <w:rPr>
          <w:rFonts w:ascii="黑体" w:hAnsi="黑体" w:eastAsia="黑体" w:cs="DejaVu Sans"/>
          <w:color w:val="auto"/>
          <w:sz w:val="52"/>
          <w:szCs w:val="52"/>
          <w:highlight w:val="none"/>
        </w:rPr>
      </w:pPr>
    </w:p>
    <w:p w14:paraId="2FB106F4">
      <w:pPr>
        <w:spacing w:line="560" w:lineRule="exact"/>
        <w:ind w:firstLine="0" w:firstLineChars="0"/>
        <w:rPr>
          <w:rFonts w:ascii="黑体" w:hAnsi="黑体" w:eastAsia="黑体" w:cs="DejaVu Sans"/>
          <w:color w:val="auto"/>
          <w:sz w:val="52"/>
          <w:szCs w:val="52"/>
          <w:highlight w:val="none"/>
        </w:rPr>
      </w:pPr>
    </w:p>
    <w:p w14:paraId="66361A46">
      <w:pPr>
        <w:spacing w:line="560" w:lineRule="exact"/>
        <w:ind w:firstLine="0" w:firstLineChars="0"/>
        <w:jc w:val="center"/>
        <w:rPr>
          <w:rFonts w:ascii="楷体_GB2312" w:hAnsi="楷体_GB2312" w:eastAsia="楷体_GB2312" w:cs="DejaVu Sans"/>
          <w:color w:val="auto"/>
          <w:sz w:val="36"/>
          <w:szCs w:val="36"/>
          <w:highlight w:val="none"/>
        </w:rPr>
      </w:pPr>
      <w:r>
        <w:rPr>
          <w:rFonts w:hint="eastAsia" w:ascii="楷体_GB2312" w:hAnsi="楷体_GB2312" w:eastAsia="楷体_GB2312" w:cs="楷体_GB2312"/>
          <w:color w:val="auto"/>
          <w:sz w:val="36"/>
          <w:szCs w:val="36"/>
          <w:highlight w:val="none"/>
        </w:rPr>
        <w:t>上海市崇明区</w:t>
      </w:r>
      <w:r>
        <w:rPr>
          <w:rFonts w:hint="eastAsia" w:ascii="楷体_GB2312" w:hAnsi="楷体_GB2312" w:eastAsia="楷体_GB2312" w:cs="楷体_GB2312"/>
          <w:color w:val="auto"/>
          <w:sz w:val="36"/>
          <w:szCs w:val="36"/>
          <w:highlight w:val="none"/>
          <w:lang w:eastAsia="zh-CN"/>
        </w:rPr>
        <w:t>农业农村委员会</w:t>
      </w:r>
    </w:p>
    <w:p w14:paraId="6E173750">
      <w:pPr>
        <w:spacing w:line="560" w:lineRule="exact"/>
        <w:ind w:firstLine="0" w:firstLineChars="0"/>
        <w:jc w:val="center"/>
        <w:rPr>
          <w:rFonts w:hint="eastAsia" w:ascii="楷体_GB2312" w:hAnsi="楷体_GB2312" w:eastAsia="楷体_GB2312" w:cs="楷体_GB2312"/>
          <w:color w:val="auto"/>
          <w:sz w:val="36"/>
          <w:szCs w:val="36"/>
          <w:highlight w:val="none"/>
        </w:rPr>
      </w:pPr>
    </w:p>
    <w:p w14:paraId="7C9905ED">
      <w:pPr>
        <w:keepNext w:val="0"/>
        <w:keepLines w:val="0"/>
        <w:pageBreakBefore w:val="0"/>
        <w:widowControl w:val="0"/>
        <w:suppressLineNumbers w:val="0"/>
        <w:shd w:val="clear" w:color="auto" w:fill="auto"/>
        <w:suppressAutoHyphens/>
        <w:kinsoku/>
        <w:wordWrap/>
        <w:overflowPunct/>
        <w:topLinePunct w:val="0"/>
        <w:autoSpaceDE/>
        <w:autoSpaceDN/>
        <w:bidi w:val="0"/>
        <w:adjustRightInd w:val="0"/>
        <w:snapToGrid w:val="0"/>
        <w:spacing w:beforeAutospacing="0" w:after="0" w:afterAutospacing="0" w:line="560" w:lineRule="exact"/>
        <w:ind w:right="0"/>
        <w:jc w:val="left"/>
        <w:textAlignment w:val="auto"/>
        <w:outlineLvl w:val="0"/>
        <w:rPr>
          <w:rFonts w:hint="default" w:ascii="仿宋_GB2312" w:hAnsi="仿宋_GB2312" w:eastAsia="仿宋_GB2312" w:cs="仿宋_GB2312"/>
          <w:color w:val="auto"/>
          <w:kern w:val="2"/>
          <w:sz w:val="32"/>
          <w:szCs w:val="32"/>
          <w:highlight w:val="none"/>
          <w:lang w:val="en-US" w:eastAsia="zh-CN" w:bidi="ar-SA"/>
        </w:rPr>
        <w:sectPr>
          <w:headerReference r:id="rId6" w:type="first"/>
          <w:footerReference r:id="rId9" w:type="first"/>
          <w:headerReference r:id="rId4" w:type="default"/>
          <w:footerReference r:id="rId7" w:type="default"/>
          <w:headerReference r:id="rId5" w:type="even"/>
          <w:footerReference r:id="rId8" w:type="even"/>
          <w:pgSz w:w="11906" w:h="16838"/>
          <w:pgMar w:top="2098" w:right="1474" w:bottom="1984" w:left="1587" w:header="851" w:footer="992" w:gutter="0"/>
          <w:pgNumType w:fmt="decimal" w:start="1"/>
          <w:cols w:space="720" w:num="1"/>
          <w:docGrid w:type="lines" w:linePitch="312" w:charSpace="0"/>
        </w:sectPr>
      </w:pPr>
    </w:p>
    <w:p w14:paraId="748F1E7D">
      <w:pPr>
        <w:keepNext w:val="0"/>
        <w:keepLines w:val="0"/>
        <w:pageBreakBefore w:val="0"/>
        <w:widowControl w:val="0"/>
        <w:suppressLineNumbers w:val="0"/>
        <w:shd w:val="clear" w:color="auto" w:fill="auto"/>
        <w:suppressAutoHyphens/>
        <w:kinsoku/>
        <w:wordWrap/>
        <w:overflowPunct/>
        <w:topLinePunct w:val="0"/>
        <w:autoSpaceDE/>
        <w:autoSpaceDN/>
        <w:bidi w:val="0"/>
        <w:adjustRightInd w:val="0"/>
        <w:snapToGrid w:val="0"/>
        <w:spacing w:beforeAutospacing="0" w:after="0" w:afterAutospacing="0" w:line="560" w:lineRule="exact"/>
        <w:ind w:right="0" w:firstLine="640" w:firstLineChars="200"/>
        <w:jc w:val="both"/>
        <w:textAlignment w:val="auto"/>
        <w:outlineLvl w:val="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为贯彻落实党的二十大和二十届</w:t>
      </w:r>
      <w:r>
        <w:rPr>
          <w:rFonts w:hint="eastAsia" w:ascii="仿宋_GB2312" w:hAnsi="仿宋_GB2312" w:eastAsia="仿宋_GB2312" w:cs="仿宋_GB2312"/>
          <w:strike w:val="0"/>
          <w:dstrike w:val="0"/>
          <w:color w:val="auto"/>
          <w:kern w:val="2"/>
          <w:sz w:val="32"/>
          <w:szCs w:val="32"/>
          <w:highlight w:val="none"/>
          <w:lang w:val="en-US" w:eastAsia="zh-CN" w:bidi="ar-SA"/>
        </w:rPr>
        <w:t>历次</w:t>
      </w:r>
      <w:r>
        <w:rPr>
          <w:rFonts w:hint="eastAsia" w:ascii="仿宋_GB2312" w:hAnsi="仿宋_GB2312" w:eastAsia="仿宋_GB2312" w:cs="仿宋_GB2312"/>
          <w:color w:val="auto"/>
          <w:kern w:val="2"/>
          <w:sz w:val="32"/>
          <w:szCs w:val="32"/>
          <w:highlight w:val="none"/>
          <w:lang w:val="en-US" w:eastAsia="zh-CN" w:bidi="ar-SA"/>
        </w:rPr>
        <w:t>全会精神，明确崇明乡村发展方向，凝聚社会各界共识，绘制世界级生态岛乡村全面振兴蓝图，依据《</w:t>
      </w:r>
      <w:r>
        <w:rPr>
          <w:rStyle w:val="14"/>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SA"/>
        </w:rPr>
        <w:t>乡村全面振兴</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规划（2024—2027年）</w:t>
      </w:r>
      <w:r>
        <w:rPr>
          <w:rFonts w:hint="eastAsia" w:ascii="仿宋_GB2312" w:hAnsi="仿宋_GB2312" w:eastAsia="仿宋_GB2312" w:cs="仿宋_GB2312"/>
          <w:color w:val="auto"/>
          <w:kern w:val="2"/>
          <w:sz w:val="32"/>
          <w:szCs w:val="32"/>
          <w:highlight w:val="none"/>
          <w:lang w:val="en-US" w:eastAsia="zh-CN" w:bidi="ar-SA"/>
        </w:rPr>
        <w:t>》《上海市推进乡村全面振兴“十五五”规划》《崇明区国民经济和社会发展第十五个五年规划和二〇三五远景目标纲要》等，制定本规划。</w:t>
      </w:r>
    </w:p>
    <w:p w14:paraId="51D7CCD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outlineLvl w:val="0"/>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一、“十四五”发展基础</w:t>
      </w:r>
    </w:p>
    <w:p w14:paraId="165955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（一）发展基础</w:t>
      </w:r>
    </w:p>
    <w:p w14:paraId="6F1F59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firstLine="643" w:firstLineChars="200"/>
        <w:jc w:val="both"/>
        <w:textAlignment w:val="auto"/>
        <w:outlineLvl w:val="9"/>
        <w:rPr>
          <w:rFonts w:hint="eastAsia" w:ascii="仿宋_GB2312" w:hAnsi="仿宋_GB2312" w:eastAsia="仿宋_GB2312" w:cs="仿宋_GB2312"/>
          <w:b/>
          <w:bCs/>
          <w:color w:val="auto"/>
          <w:w w:val="100"/>
          <w:sz w:val="32"/>
          <w:szCs w:val="32"/>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1.政策体系日趋完善，铺就“三园”建设基石</w:t>
      </w:r>
    </w:p>
    <w:p w14:paraId="54B1C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党的二十大对全面推进乡村振兴作出重大战略部署，《上海市乡村振兴促进条例》设立“崇明世界级生态岛建设”专章，围绕空间管控、用地管理、产业融合、社会发展、人才支撑等领域，为崇明推进乡村全面振兴提供了法治保障和政策支持。崇明以推进“三园”（绿色田园、美丽家园、幸福乐园）工程为抓手，建立“挂图作战”机制，以项目化形式，制定乡村振兴重点任务，明确乡村振兴工作推进的时间表和路线图，落实各项关键举措。区各相关部门研究出台一系列推进乡村振兴的配套政策，锚定世界级生态岛建设方向，立足长三角农业硅谷建设，构建以总体规划为统领、专项政策为支撑、示范项目为载体的乡村振兴战略制度框架体系。2021年以来，崇明东滩鸟类国家级自然保护区成为上海首个世界自然遗产，崇明获得“国际湿地城市”认证，获评“中国天然氧吧”“中国气候宜居城市”“生态环境领域激励表扬城市”，成功创建全国农业科技现代化先行区、国家现代农业产业园、国家农业现代化示范区、全国休闲农业重点县、全国农村社区治理实验区、全国乡村治理体系建设试点示范区。</w:t>
      </w:r>
    </w:p>
    <w:p w14:paraId="19ECBF86">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b/>
          <w:bCs/>
          <w:color w:val="auto"/>
          <w:w w:val="100"/>
          <w:sz w:val="32"/>
          <w:szCs w:val="32"/>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2.乡村产业多元并进，“绿色田园”聚势增效</w:t>
      </w:r>
    </w:p>
    <w:p w14:paraId="2561D7C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Style w:val="17"/>
          <w:rFonts w:hint="eastAsia" w:ascii="仿宋_GB2312" w:eastAsia="仿宋_GB2312" w:cs="文泉驿微米黑"/>
          <w:color w:val="auto"/>
          <w:kern w:val="0"/>
          <w:sz w:val="32"/>
          <w:szCs w:val="32"/>
          <w:highlight w:val="none"/>
          <w:lang w:val="en-US" w:eastAsia="zh-CN"/>
        </w:rPr>
      </w:pPr>
      <w:r>
        <w:rPr>
          <w:rFonts w:hint="eastAsia" w:ascii="仿宋_GB2312" w:hAnsi="仿宋_GB2312" w:eastAsia="仿宋_GB2312" w:cs="仿宋_GB2312"/>
          <w:b w:val="0"/>
          <w:color w:val="auto"/>
          <w:w w:val="100"/>
          <w:sz w:val="32"/>
          <w:szCs w:val="32"/>
          <w:highlight w:val="none"/>
          <w:lang w:val="en-US" w:eastAsia="zh-CN"/>
        </w:rPr>
        <w:t>坚持高科技、高品质、高附加值发展理念，打造都市现代农业高地，全力构建与世界级生态岛相匹配的乡村产业体系。</w:t>
      </w:r>
      <w:r>
        <w:rPr>
          <w:rFonts w:hint="eastAsia" w:ascii="仿宋_GB2312" w:hAnsi="仿宋_GB2312" w:eastAsia="仿宋_GB2312" w:cs="仿宋_GB2312"/>
          <w:b/>
          <w:bCs/>
          <w:color w:val="auto"/>
          <w:sz w:val="32"/>
          <w:szCs w:val="32"/>
          <w:highlight w:val="none"/>
          <w:lang w:val="en-US" w:eastAsia="zh-CN"/>
        </w:rPr>
        <w:t>农产品保供能力持续提升。</w:t>
      </w:r>
      <w:r>
        <w:rPr>
          <w:rFonts w:hint="eastAsia" w:ascii="仿宋_GB2312" w:hAnsi="仿宋_GB2312" w:eastAsia="仿宋_GB2312" w:cs="仿宋_GB2312"/>
          <w:b w:val="0"/>
          <w:color w:val="auto"/>
          <w:w w:val="100"/>
          <w:sz w:val="32"/>
          <w:szCs w:val="32"/>
          <w:highlight w:val="none"/>
          <w:lang w:val="en-US" w:eastAsia="zh-CN"/>
        </w:rPr>
        <w:t>严格落实耕地和永久基本农田保护任务，水稻、蔬菜、水果种植面积和生猪、白山羊、家禽存栏量均居上海各涉农区第一，切实保障“米袋子”“菜篮子”“肉盘子”有效供应。持续推动化肥农药减量，不断提升农业绿色生产水平，绿色食品产量认证率保持40%以上。构建“种养结合、生态循环”的绿色发展模式，推进蔬菜绿色产能提升，全域开展养殖尾水治理，崇明农业绿色发展指数多年位列全国第一。</w:t>
      </w:r>
      <w:r>
        <w:rPr>
          <w:rFonts w:hint="eastAsia" w:ascii="仿宋_GB2312" w:hAnsi="仿宋_GB2312" w:eastAsia="仿宋_GB2312" w:cs="仿宋_GB2312"/>
          <w:b/>
          <w:bCs/>
          <w:color w:val="auto"/>
          <w:sz w:val="32"/>
          <w:szCs w:val="32"/>
          <w:highlight w:val="none"/>
          <w:lang w:val="en-US" w:eastAsia="zh-CN"/>
        </w:rPr>
        <w:t>农业科技赋能成效凸显。</w:t>
      </w:r>
      <w:r>
        <w:rPr>
          <w:rFonts w:hint="eastAsia" w:ascii="仿宋_GB2312" w:hAnsi="DejaVu Sans" w:eastAsia="仿宋_GB2312" w:cs="仿宋_GB2312"/>
          <w:color w:val="auto"/>
          <w:kern w:val="2"/>
          <w:sz w:val="32"/>
          <w:szCs w:val="32"/>
          <w:highlight w:val="none"/>
          <w:lang w:val="en-US" w:eastAsia="zh-CN" w:bidi="ar"/>
        </w:rPr>
        <w:t>创新打造长三角农业硅谷</w:t>
      </w:r>
      <w:r>
        <w:rPr>
          <w:rFonts w:hint="eastAsia" w:ascii="仿宋_GB2312" w:eastAsia="仿宋_GB2312" w:cs="仿宋_GB2312"/>
          <w:color w:val="auto"/>
          <w:kern w:val="2"/>
          <w:sz w:val="32"/>
          <w:szCs w:val="32"/>
          <w:highlight w:val="none"/>
          <w:lang w:val="en-US" w:eastAsia="zh-CN" w:bidi="ar"/>
        </w:rPr>
        <w:t>，初步</w:t>
      </w:r>
      <w:r>
        <w:rPr>
          <w:rFonts w:hint="eastAsia" w:ascii="仿宋_GB2312" w:hAnsi="仿宋_GB2312" w:eastAsia="仿宋_GB2312" w:cs="仿宋_GB2312"/>
          <w:b w:val="0"/>
          <w:bCs w:val="0"/>
          <w:color w:val="auto"/>
          <w:sz w:val="32"/>
          <w:szCs w:val="32"/>
          <w:highlight w:val="none"/>
          <w:lang w:val="en-US" w:eastAsia="zh-CN"/>
        </w:rPr>
        <w:t>形成</w:t>
      </w:r>
      <w:r>
        <w:rPr>
          <w:rFonts w:hint="eastAsia" w:ascii="仿宋_GB2312" w:hAnsi="仿宋_GB2312" w:eastAsia="仿宋_GB2312" w:cs="仿宋_GB2312"/>
          <w:b w:val="0"/>
          <w:bCs w:val="0"/>
          <w:color w:val="auto"/>
          <w:sz w:val="32"/>
          <w:szCs w:val="32"/>
          <w:highlight w:val="none"/>
          <w:lang w:val="en-US" w:eastAsia="zh-Hans"/>
        </w:rPr>
        <w:t>“一核一带两区”总体布局，</w:t>
      </w:r>
      <w:r>
        <w:rPr>
          <w:rFonts w:hint="eastAsia" w:ascii="仿宋_GB2312" w:hAnsi="仿宋_GB2312" w:eastAsia="仿宋_GB2312" w:cs="仿宋_GB2312"/>
          <w:color w:val="auto"/>
          <w:sz w:val="32"/>
          <w:szCs w:val="32"/>
          <w:highlight w:val="none"/>
        </w:rPr>
        <w:t>发布</w:t>
      </w:r>
      <w:r>
        <w:rPr>
          <w:rFonts w:hint="eastAsia" w:ascii="仿宋_GB2312" w:hAnsi="仿宋_GB2312" w:eastAsia="仿宋_GB2312" w:cs="仿宋_GB2312"/>
          <w:color w:val="auto"/>
          <w:sz w:val="32"/>
          <w:szCs w:val="32"/>
          <w:highlight w:val="none"/>
          <w:lang w:val="en-US" w:eastAsia="zh-CN"/>
        </w:rPr>
        <w:t>农业</w:t>
      </w:r>
      <w:r>
        <w:rPr>
          <w:rFonts w:hint="eastAsia" w:ascii="仿宋_GB2312" w:hAnsi="仿宋_GB2312" w:eastAsia="仿宋_GB2312" w:cs="仿宋_GB2312"/>
          <w:color w:val="auto"/>
          <w:sz w:val="32"/>
          <w:szCs w:val="32"/>
          <w:highlight w:val="none"/>
        </w:rPr>
        <w:t>硅谷专项政策</w:t>
      </w:r>
      <w:r>
        <w:rPr>
          <w:rFonts w:hint="eastAsia" w:ascii="仿宋_GB2312" w:hAnsi="仿宋_GB2312" w:eastAsia="仿宋_GB2312" w:cs="仿宋_GB2312"/>
          <w:color w:val="auto"/>
          <w:sz w:val="32"/>
          <w:szCs w:val="32"/>
          <w:highlight w:val="none"/>
          <w:lang w:eastAsia="zh-CN"/>
        </w:rPr>
        <w:t>，设立</w:t>
      </w:r>
      <w:r>
        <w:rPr>
          <w:rFonts w:hint="eastAsia" w:ascii="仿宋_GB2312" w:hAnsi="仿宋_GB2312" w:eastAsia="仿宋_GB2312" w:cs="仿宋_GB2312"/>
          <w:color w:val="auto"/>
          <w:sz w:val="32"/>
          <w:szCs w:val="32"/>
          <w:highlight w:val="none"/>
        </w:rPr>
        <w:t>农业科创基金，</w:t>
      </w:r>
      <w:r>
        <w:rPr>
          <w:rFonts w:hint="eastAsia" w:ascii="仿宋_GB2312" w:hAnsi="仿宋_GB2312" w:eastAsia="仿宋_GB2312" w:cs="仿宋_GB2312"/>
          <w:b w:val="0"/>
          <w:bCs w:val="0"/>
          <w:color w:val="auto"/>
          <w:sz w:val="32"/>
          <w:szCs w:val="32"/>
          <w:highlight w:val="none"/>
          <w:lang w:val="en-US" w:eastAsia="zh-CN"/>
        </w:rPr>
        <w:t>吸引68家优质企业入驻落地，</w:t>
      </w:r>
      <w:r>
        <w:rPr>
          <w:rFonts w:hint="eastAsia" w:ascii="仿宋_GB2312" w:hAnsi="仿宋_GB2312" w:eastAsia="仿宋_GB2312" w:cs="仿宋_GB2312"/>
          <w:b w:val="0"/>
          <w:bCs w:val="0"/>
          <w:color w:val="auto"/>
          <w:sz w:val="32"/>
          <w:szCs w:val="32"/>
          <w:highlight w:val="none"/>
          <w:lang w:val="en-US" w:eastAsia="zh-Hans"/>
        </w:rPr>
        <w:t>与</w:t>
      </w:r>
      <w:r>
        <w:rPr>
          <w:rFonts w:hint="eastAsia" w:ascii="仿宋_GB2312" w:hAnsi="仿宋_GB2312" w:eastAsia="仿宋_GB2312" w:cs="仿宋_GB2312"/>
          <w:b w:val="0"/>
          <w:bCs w:val="0"/>
          <w:color w:val="auto"/>
          <w:sz w:val="32"/>
          <w:szCs w:val="32"/>
          <w:highlight w:val="none"/>
          <w:lang w:val="en-US" w:eastAsia="zh-CN"/>
        </w:rPr>
        <w:t>中国农业科学院、中国农业绿色发展研究会等9家</w:t>
      </w:r>
      <w:r>
        <w:rPr>
          <w:rFonts w:hint="eastAsia" w:ascii="仿宋_GB2312" w:hAnsi="仿宋_GB2312" w:eastAsia="仿宋_GB2312" w:cs="仿宋_GB2312"/>
          <w:b w:val="0"/>
          <w:bCs w:val="0"/>
          <w:color w:val="auto"/>
          <w:sz w:val="32"/>
          <w:szCs w:val="32"/>
          <w:highlight w:val="none"/>
          <w:lang w:val="en-US" w:eastAsia="zh-Hans"/>
        </w:rPr>
        <w:t>科研院所</w:t>
      </w:r>
      <w:r>
        <w:rPr>
          <w:rFonts w:hint="eastAsia" w:ascii="仿宋_GB2312" w:hAnsi="仿宋_GB2312" w:eastAsia="仿宋_GB2312" w:cs="仿宋_GB2312"/>
          <w:b w:val="0"/>
          <w:bCs w:val="0"/>
          <w:color w:val="auto"/>
          <w:sz w:val="32"/>
          <w:szCs w:val="32"/>
          <w:highlight w:val="none"/>
          <w:lang w:val="en-US" w:eastAsia="zh-CN"/>
        </w:rPr>
        <w:t>建立合作关系</w:t>
      </w:r>
      <w:r>
        <w:rPr>
          <w:rFonts w:hint="eastAsia" w:ascii="仿宋_GB2312" w:hAnsi="仿宋_GB2312" w:eastAsia="仿宋_GB2312" w:cs="仿宋_GB2312"/>
          <w:b w:val="0"/>
          <w:bCs w:val="0"/>
          <w:color w:val="auto"/>
          <w:sz w:val="32"/>
          <w:szCs w:val="32"/>
          <w:highlight w:val="none"/>
          <w:lang w:val="en-US" w:eastAsia="zh-Hans"/>
        </w:rPr>
        <w:t>。</w:t>
      </w:r>
      <w:r>
        <w:rPr>
          <w:rFonts w:hint="eastAsia" w:ascii="仿宋_GB2312" w:hAnsi="仿宋_GB2312" w:eastAsia="仿宋_GB2312" w:cs="仿宋_GB2312"/>
          <w:b w:val="0"/>
          <w:color w:val="auto"/>
          <w:w w:val="100"/>
          <w:sz w:val="32"/>
          <w:szCs w:val="32"/>
          <w:highlight w:val="none"/>
          <w:lang w:val="en-US" w:eastAsia="zh-CN"/>
        </w:rPr>
        <w:t>实施种业振兴行动，</w:t>
      </w:r>
      <w:r>
        <w:rPr>
          <w:rFonts w:hint="eastAsia" w:ascii="仿宋_GB2312" w:hAnsi="仿宋_GB2312" w:eastAsia="仿宋_GB2312" w:cs="仿宋_GB2312"/>
          <w:b w:val="0"/>
          <w:color w:val="auto"/>
          <w:w w:val="100"/>
          <w:sz w:val="32"/>
          <w:szCs w:val="32"/>
          <w:highlight w:val="none"/>
          <w:lang w:val="en-US" w:eastAsia="zh-Hans"/>
        </w:rPr>
        <w:t>建成白山羊</w:t>
      </w:r>
      <w:r>
        <w:rPr>
          <w:rFonts w:hint="eastAsia" w:ascii="仿宋_GB2312" w:hAnsi="仿宋_GB2312" w:eastAsia="仿宋_GB2312" w:cs="仿宋_GB2312"/>
          <w:b w:val="0"/>
          <w:color w:val="auto"/>
          <w:w w:val="100"/>
          <w:sz w:val="32"/>
          <w:szCs w:val="32"/>
          <w:highlight w:val="none"/>
          <w:lang w:val="en-US" w:eastAsia="zh-CN"/>
        </w:rPr>
        <w:t>育繁中心、河蟹繁育基地、本地特色球根花卉种质资源圃等</w:t>
      </w:r>
      <w:r>
        <w:rPr>
          <w:rFonts w:hint="eastAsia" w:ascii="仿宋_GB2312" w:hAnsi="仿宋_GB2312" w:eastAsia="仿宋_GB2312" w:cs="仿宋_GB2312"/>
          <w:b w:val="0"/>
          <w:color w:val="auto"/>
          <w:w w:val="100"/>
          <w:sz w:val="32"/>
          <w:szCs w:val="32"/>
          <w:highlight w:val="none"/>
          <w:lang w:val="en-US" w:eastAsia="zh-Hans"/>
        </w:rPr>
        <w:t>，</w:t>
      </w:r>
      <w:r>
        <w:rPr>
          <w:rFonts w:hint="eastAsia" w:ascii="仿宋_GB2312" w:hAnsi="仿宋_GB2312" w:eastAsia="仿宋_GB2312" w:cs="仿宋_GB2312"/>
          <w:b w:val="0"/>
          <w:color w:val="auto"/>
          <w:w w:val="100"/>
          <w:sz w:val="32"/>
          <w:szCs w:val="32"/>
          <w:highlight w:val="none"/>
          <w:lang w:val="en-US" w:eastAsia="zh-CN"/>
        </w:rPr>
        <w:t>成功</w:t>
      </w:r>
      <w:r>
        <w:rPr>
          <w:rFonts w:hint="eastAsia" w:ascii="仿宋_GB2312" w:hAnsi="仿宋_GB2312" w:eastAsia="仿宋_GB2312" w:cs="仿宋_GB2312"/>
          <w:b w:val="0"/>
          <w:color w:val="auto"/>
          <w:w w:val="100"/>
          <w:sz w:val="32"/>
          <w:szCs w:val="32"/>
          <w:highlight w:val="none"/>
          <w:lang w:val="en-US" w:eastAsia="zh-Hans"/>
        </w:rPr>
        <w:t>取得新品种审定权</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Hans"/>
        </w:rPr>
        <w:t>个</w:t>
      </w:r>
      <w:r>
        <w:rPr>
          <w:rFonts w:hint="eastAsia" w:ascii="仿宋_GB2312" w:hAnsi="仿宋_GB2312" w:eastAsia="仿宋_GB2312" w:cs="仿宋_GB2312"/>
          <w:b w:val="0"/>
          <w:bCs w:val="0"/>
          <w:color w:val="auto"/>
          <w:sz w:val="32"/>
          <w:szCs w:val="32"/>
          <w:highlight w:val="none"/>
          <w:lang w:val="en-US" w:eastAsia="zh-CN"/>
        </w:rPr>
        <w:t>，河蟹新品系</w:t>
      </w:r>
      <w:r>
        <w:rPr>
          <w:rFonts w:hint="eastAsia" w:ascii="仿宋_GB2312" w:hAnsi="仿宋_GB2312" w:eastAsia="仿宋_GB2312" w:cs="仿宋_GB2312"/>
          <w:b w:val="0"/>
          <w:bCs w:val="0"/>
          <w:color w:val="auto"/>
          <w:sz w:val="32"/>
          <w:szCs w:val="32"/>
          <w:highlight w:val="none"/>
          <w:lang w:val="en-US" w:eastAsia="zh-Hans"/>
        </w:rPr>
        <w:t>“崇明</w:t>
      </w:r>
      <w:r>
        <w:rPr>
          <w:rFonts w:hint="eastAsia" w:ascii="仿宋_GB2312" w:hAnsi="仿宋_GB2312" w:eastAsia="仿宋_GB2312" w:cs="仿宋_GB2312"/>
          <w:b w:val="0"/>
          <w:color w:val="auto"/>
          <w:w w:val="100"/>
          <w:sz w:val="32"/>
          <w:szCs w:val="32"/>
          <w:highlight w:val="none"/>
          <w:lang w:val="en-US" w:eastAsia="zh-Hans"/>
        </w:rPr>
        <w:t>1号”</w:t>
      </w:r>
      <w:r>
        <w:rPr>
          <w:rFonts w:hint="eastAsia" w:ascii="仿宋_GB2312" w:hAnsi="仿宋_GB2312" w:eastAsia="仿宋_GB2312" w:cs="仿宋_GB2312"/>
          <w:b w:val="0"/>
          <w:color w:val="auto"/>
          <w:w w:val="100"/>
          <w:sz w:val="32"/>
          <w:szCs w:val="32"/>
          <w:highlight w:val="none"/>
          <w:lang w:val="en-US" w:eastAsia="zh-CN"/>
        </w:rPr>
        <w:t>蟹苗销往外省，辐射面积超10万亩。推进数字农业应用场景建设，建成万亩粮食智慧农场，打造蔬菜生产“机器换人”基地、羊脸识别智慧羊场。集成物联网、人工智能等技术，建成智慧农业平台，实现农用地、宅基地“一网管控”。逐步打造都市农业产业集群，</w:t>
      </w:r>
      <w:r>
        <w:rPr>
          <w:rFonts w:hint="eastAsia" w:ascii="仿宋_GB2312" w:hAnsi="仿宋_GB2312" w:eastAsia="仿宋_GB2312" w:cs="仿宋_GB2312"/>
          <w:color w:val="auto"/>
          <w:sz w:val="32"/>
          <w:szCs w:val="32"/>
          <w:highlight w:val="none"/>
        </w:rPr>
        <w:t>推进绿色田园先行片区建设，</w:t>
      </w:r>
      <w:r>
        <w:rPr>
          <w:rFonts w:hint="eastAsia" w:ascii="仿宋_GB2312" w:hAnsi="仿宋_GB2312" w:eastAsia="仿宋_GB2312" w:cs="仿宋_GB2312"/>
          <w:b w:val="0"/>
          <w:bCs w:val="0"/>
          <w:color w:val="auto"/>
          <w:sz w:val="32"/>
          <w:szCs w:val="32"/>
          <w:highlight w:val="none"/>
          <w:lang w:val="en-US" w:eastAsia="zh-CN"/>
        </w:rPr>
        <w:t>建成东禾九谷水稻育秧生产基地、优农三兄弟蔬菜分拣中心等重大设施农业项目67个，农业项目固定资产累计投资额超23.25亿元。</w:t>
      </w:r>
      <w:r>
        <w:rPr>
          <w:rFonts w:hint="eastAsia" w:ascii="仿宋_GB2312" w:hAnsi="仿宋_GB2312" w:eastAsia="仿宋_GB2312" w:cs="仿宋_GB2312"/>
          <w:b/>
          <w:bCs/>
          <w:color w:val="auto"/>
          <w:sz w:val="32"/>
          <w:szCs w:val="32"/>
          <w:highlight w:val="none"/>
          <w:lang w:val="en-US" w:eastAsia="zh-CN"/>
        </w:rPr>
        <w:t>农业品牌价值日益显现。</w:t>
      </w:r>
      <w:r>
        <w:rPr>
          <w:rFonts w:hint="eastAsia" w:ascii="仿宋_GB2312" w:hAnsi="仿宋_GB2312" w:eastAsia="仿宋_GB2312" w:cs="仿宋_GB2312"/>
          <w:b w:val="0"/>
          <w:color w:val="auto"/>
          <w:w w:val="100"/>
          <w:sz w:val="32"/>
          <w:szCs w:val="32"/>
          <w:highlight w:val="none"/>
          <w:lang w:val="en-US" w:eastAsia="zh-CN"/>
        </w:rPr>
        <w:t>深化农业产业化联合体建设，引导组建大米、蔬菜、河蟹、白山羊等农业集团，强化产业链各环节资源整合、优势互补，实现规模化、标准化、订单化发展。打造区域公共品牌“优农三兄弟”，形成涵盖生产标准、标识授权、包装样式的“三统一”品牌管理体系，提升崇明地产农产品市场竞争力。推出线上营销平台，搭建区级公共直播平台，培育本土电商主播，开辟电商直采、定制生产等多元化销售渠道。</w:t>
      </w:r>
      <w:r>
        <w:rPr>
          <w:rFonts w:hint="eastAsia" w:ascii="仿宋_GB2312" w:hAnsi="仿宋_GB2312" w:eastAsia="仿宋_GB2312" w:cs="仿宋_GB2312"/>
          <w:color w:val="auto"/>
          <w:sz w:val="32"/>
          <w:szCs w:val="32"/>
          <w:highlight w:val="none"/>
        </w:rPr>
        <w:t>组织参加法国食品展（</w:t>
      </w:r>
      <w:r>
        <w:rPr>
          <w:rFonts w:hint="eastAsia" w:ascii="仿宋_GB2312" w:hAnsi="文泉驿微米黑" w:eastAsia="仿宋_GB2312" w:cs="文泉驿微米黑"/>
          <w:color w:val="auto"/>
          <w:sz w:val="32"/>
          <w:szCs w:val="32"/>
          <w:highlight w:val="none"/>
        </w:rPr>
        <w:t>SIAL</w:t>
      </w:r>
      <w:r>
        <w:rPr>
          <w:rFonts w:hint="eastAsia" w:ascii="仿宋_GB2312" w:hAnsi="仿宋_GB2312" w:eastAsia="仿宋_GB2312" w:cs="仿宋_GB2312"/>
          <w:color w:val="auto"/>
          <w:sz w:val="32"/>
          <w:szCs w:val="32"/>
          <w:highlight w:val="none"/>
        </w:rPr>
        <w:t>）、农交会</w:t>
      </w:r>
      <w:r>
        <w:rPr>
          <w:rStyle w:val="17"/>
          <w:rFonts w:hint="default" w:ascii="仿宋_GB2312" w:eastAsia="仿宋_GB2312" w:cs="文泉驿微米黑"/>
          <w:color w:val="auto"/>
          <w:kern w:val="0"/>
          <w:sz w:val="32"/>
          <w:szCs w:val="32"/>
          <w:highlight w:val="none"/>
        </w:rPr>
        <w:t>等国内外展示展销</w:t>
      </w:r>
      <w:r>
        <w:rPr>
          <w:rStyle w:val="17"/>
          <w:rFonts w:hint="eastAsia" w:ascii="仿宋_GB2312" w:eastAsia="仿宋_GB2312" w:cs="文泉驿微米黑"/>
          <w:color w:val="auto"/>
          <w:kern w:val="0"/>
          <w:sz w:val="32"/>
          <w:szCs w:val="32"/>
          <w:highlight w:val="none"/>
          <w:lang w:val="en-US" w:eastAsia="zh-CN"/>
        </w:rPr>
        <w:t>活动</w:t>
      </w:r>
      <w:r>
        <w:rPr>
          <w:rFonts w:hint="eastAsia" w:ascii="仿宋_GB2312" w:hAnsi="仿宋_GB2312" w:eastAsia="仿宋_GB2312" w:cs="仿宋_GB2312"/>
          <w:b w:val="0"/>
          <w:color w:val="auto"/>
          <w:w w:val="100"/>
          <w:sz w:val="32"/>
          <w:szCs w:val="32"/>
          <w:highlight w:val="none"/>
          <w:lang w:val="en-US" w:eastAsia="zh-CN"/>
        </w:rPr>
        <w:t>，</w:t>
      </w:r>
      <w:r>
        <w:rPr>
          <w:rFonts w:hint="eastAsia" w:ascii="仿宋_GB2312" w:hAnsi="仿宋_GB2312" w:eastAsia="仿宋_GB2312" w:cs="仿宋_GB2312"/>
          <w:color w:val="auto"/>
          <w:sz w:val="32"/>
          <w:szCs w:val="32"/>
          <w:highlight w:val="none"/>
        </w:rPr>
        <w:t>崇明清水蟹、崇明白山羊、崇明西红花、崇明小菠菜、崇明大米、崇明金瓜等6个农产品成功申报“全国名特优新农产品”，崇明大米、崇明白山羊</w:t>
      </w:r>
      <w:r>
        <w:rPr>
          <w:rFonts w:hint="eastAsia" w:ascii="仿宋_GB2312" w:hAnsi="仿宋_GB2312" w:eastAsia="仿宋_GB2312" w:cs="仿宋_GB2312"/>
          <w:color w:val="auto"/>
          <w:sz w:val="32"/>
          <w:szCs w:val="32"/>
          <w:highlight w:val="none"/>
          <w:lang w:eastAsia="zh-CN"/>
        </w:rPr>
        <w:t>成功</w:t>
      </w:r>
      <w:r>
        <w:rPr>
          <w:rFonts w:hint="eastAsia" w:ascii="仿宋_GB2312" w:hAnsi="仿宋_GB2312" w:eastAsia="仿宋_GB2312" w:cs="仿宋_GB2312"/>
          <w:color w:val="auto"/>
          <w:sz w:val="32"/>
          <w:szCs w:val="32"/>
          <w:highlight w:val="none"/>
        </w:rPr>
        <w:t>入选中国农业品牌目录</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乡村消费新场景持续涌现。</w:t>
      </w:r>
      <w:r>
        <w:rPr>
          <w:rStyle w:val="17"/>
          <w:rFonts w:hint="eastAsia" w:ascii="仿宋_GB2312" w:eastAsia="仿宋_GB2312" w:cs="文泉驿微米黑"/>
          <w:color w:val="auto"/>
          <w:kern w:val="0"/>
          <w:sz w:val="32"/>
          <w:szCs w:val="32"/>
          <w:highlight w:val="none"/>
          <w:lang w:val="en-US" w:eastAsia="zh-CN"/>
        </w:rPr>
        <w:t>放大赛事活动乘数效应，成功举办</w:t>
      </w:r>
      <w:r>
        <w:rPr>
          <w:rStyle w:val="17"/>
          <w:rFonts w:hint="eastAsia" w:ascii="仿宋_GB2312" w:eastAsia="仿宋_GB2312" w:cs="文泉驿微米黑"/>
          <w:color w:val="auto"/>
          <w:kern w:val="0"/>
          <w:sz w:val="32"/>
          <w:szCs w:val="32"/>
          <w:highlight w:val="none"/>
        </w:rPr>
        <w:t>环崇明岛国际自盟女子公路世界巡回赛、世界铁人三项赛上海崇明站、上海长江半程马拉松</w:t>
      </w:r>
      <w:r>
        <w:rPr>
          <w:rStyle w:val="17"/>
          <w:rFonts w:hint="eastAsia" w:ascii="仿宋_GB2312" w:eastAsia="仿宋_GB2312" w:cs="文泉驿微米黑"/>
          <w:color w:val="auto"/>
          <w:kern w:val="0"/>
          <w:sz w:val="32"/>
          <w:szCs w:val="32"/>
          <w:highlight w:val="none"/>
          <w:lang w:val="en-US" w:eastAsia="zh-CN"/>
        </w:rPr>
        <w:t>等体育赛事，持续举办花朝节、乡村文化旅游节、清水蟹开捕节、乡村夜生活节、源生态美食节等特色活动，把“流量”转化为文旅消费和经济发展“增量”。</w:t>
      </w:r>
      <w:bookmarkStart w:id="1" w:name="OLE_LINK26"/>
      <w:r>
        <w:rPr>
          <w:rStyle w:val="17"/>
          <w:rFonts w:hint="eastAsia" w:ascii="仿宋_GB2312" w:eastAsia="仿宋_GB2312" w:cs="文泉驿微米黑"/>
          <w:color w:val="auto"/>
          <w:kern w:val="0"/>
          <w:sz w:val="32"/>
          <w:szCs w:val="32"/>
          <w:highlight w:val="none"/>
          <w:lang w:val="en-US" w:eastAsia="zh-CN"/>
        </w:rPr>
        <w:t>丰富旅游资源开发供给</w:t>
      </w:r>
      <w:bookmarkEnd w:id="1"/>
      <w:r>
        <w:rPr>
          <w:rStyle w:val="17"/>
          <w:rFonts w:hint="eastAsia" w:ascii="仿宋_GB2312" w:eastAsia="仿宋_GB2312" w:cs="文泉驿微米黑"/>
          <w:color w:val="auto"/>
          <w:kern w:val="0"/>
          <w:sz w:val="32"/>
          <w:szCs w:val="32"/>
          <w:highlight w:val="none"/>
          <w:lang w:val="en-US" w:eastAsia="zh-CN"/>
        </w:rPr>
        <w:t>，引进培育咖啡经济、星空经济、宠物经济、水上经济等多旅融合新业态，推出全国乡村旅游四季精品线路10余条、骑游线路30条，培育上海市特色小镇4个。推动商贸消费扩容升级，持续拓宽“崇明好物”展销渠道，打造“乡村会客+文旅商体农沉浸+好物品鉴”的崇明农旅融合消费新模式。</w:t>
      </w:r>
    </w:p>
    <w:p w14:paraId="63A0E8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3" w:firstLineChars="200"/>
        <w:jc w:val="both"/>
        <w:textAlignment w:val="auto"/>
        <w:outlineLvl w:val="9"/>
        <w:rPr>
          <w:rFonts w:hint="eastAsia" w:ascii="仿宋_GB2312" w:hAnsi="仿宋_GB2312" w:eastAsia="仿宋_GB2312" w:cs="仿宋_GB2312"/>
          <w:b/>
          <w:bCs/>
          <w:color w:val="auto"/>
          <w:w w:val="100"/>
          <w:sz w:val="32"/>
          <w:szCs w:val="32"/>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3.生态宜居双轮驱动，“美丽家园”焕发新貌</w:t>
      </w:r>
    </w:p>
    <w:p w14:paraId="6C820A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以乡村建设为抓手，统筹推进人居环境改善和生态质量提升，乡村生态宜居水平显著提升。</w:t>
      </w:r>
      <w:r>
        <w:rPr>
          <w:rFonts w:hint="eastAsia" w:ascii="仿宋_GB2312" w:hAnsi="仿宋_GB2312" w:eastAsia="仿宋_GB2312" w:cs="仿宋_GB2312"/>
          <w:b/>
          <w:bCs/>
          <w:strike w:val="0"/>
          <w:dstrike w:val="0"/>
          <w:color w:val="auto"/>
          <w:sz w:val="32"/>
          <w:szCs w:val="32"/>
          <w:highlight w:val="none"/>
          <w:lang w:val="en-US" w:eastAsia="zh-CN"/>
        </w:rPr>
        <w:t>全力打造</w:t>
      </w:r>
      <w:r>
        <w:rPr>
          <w:rFonts w:hint="eastAsia" w:ascii="仿宋_GB2312" w:hAnsi="仿宋_GB2312" w:eastAsia="仿宋_GB2312" w:cs="仿宋_GB2312"/>
          <w:b/>
          <w:bCs/>
          <w:color w:val="auto"/>
          <w:sz w:val="32"/>
          <w:szCs w:val="32"/>
          <w:highlight w:val="none"/>
          <w:lang w:val="en-US" w:eastAsia="zh-CN"/>
        </w:rPr>
        <w:t>宜居宜业和美乡村。</w:t>
      </w:r>
      <w:r>
        <w:rPr>
          <w:rFonts w:hint="eastAsia" w:ascii="仿宋_GB2312" w:hAnsi="仿宋_GB2312" w:eastAsia="仿宋_GB2312" w:cs="仿宋_GB2312"/>
          <w:b w:val="0"/>
          <w:color w:val="auto"/>
          <w:w w:val="100"/>
          <w:sz w:val="32"/>
          <w:szCs w:val="32"/>
          <w:highlight w:val="none"/>
          <w:lang w:val="en-US" w:eastAsia="zh-CN"/>
        </w:rPr>
        <w:t>推进美丽乡村示范村、乡村振兴示范村、宜居宜业和美乡村片区建设，推动乡村实现从点上突破到扩面增效的迭代升级，成功创建市级美丽乡村示范村24个、市级乡村振兴示范村</w:t>
      </w:r>
      <w:r>
        <w:rPr>
          <w:rFonts w:hint="eastAsia" w:ascii="仿宋_GB2312" w:hAnsi="仿宋_GB2312" w:eastAsia="仿宋_GB2312" w:cs="仿宋_GB2312"/>
          <w:b w:val="0"/>
          <w:strike w:val="0"/>
          <w:dstrike w:val="0"/>
          <w:color w:val="auto"/>
          <w:w w:val="100"/>
          <w:sz w:val="32"/>
          <w:szCs w:val="32"/>
          <w:highlight w:val="none"/>
          <w:lang w:val="en-US" w:eastAsia="zh-CN"/>
        </w:rPr>
        <w:t>14</w:t>
      </w:r>
      <w:r>
        <w:rPr>
          <w:rFonts w:hint="eastAsia" w:ascii="仿宋_GB2312" w:hAnsi="仿宋_GB2312" w:eastAsia="仿宋_GB2312" w:cs="仿宋_GB2312"/>
          <w:b w:val="0"/>
          <w:color w:val="auto"/>
          <w:w w:val="100"/>
          <w:sz w:val="32"/>
          <w:szCs w:val="32"/>
          <w:highlight w:val="none"/>
          <w:lang w:val="en-US" w:eastAsia="zh-CN"/>
        </w:rPr>
        <w:t>个、区级乡村振兴示范村30个</w:t>
      </w:r>
      <w:r>
        <w:rPr>
          <w:rFonts w:hint="eastAsia" w:ascii="仿宋_GB2312" w:hAnsi="仿宋_GB2312" w:eastAsia="仿宋_GB2312" w:cs="仿宋_GB2312"/>
          <w:color w:val="auto"/>
          <w:sz w:val="32"/>
          <w:szCs w:val="32"/>
          <w:highlight w:val="none"/>
          <w:lang w:val="en-US" w:eastAsia="zh-CN"/>
        </w:rPr>
        <w:t>，推动1个国家级“五好两宜”、2个市级</w:t>
      </w:r>
      <w:r>
        <w:rPr>
          <w:rFonts w:hint="eastAsia" w:ascii="仿宋_GB2312" w:hAnsi="仿宋_GB2312" w:eastAsia="仿宋_GB2312" w:cs="仿宋_GB2312"/>
          <w:strike w:val="0"/>
          <w:dstrike w:val="0"/>
          <w:color w:val="auto"/>
          <w:sz w:val="32"/>
          <w:szCs w:val="32"/>
          <w:highlight w:val="none"/>
          <w:lang w:val="en-US" w:eastAsia="zh-CN"/>
        </w:rPr>
        <w:t>宜居宜业</w:t>
      </w:r>
      <w:r>
        <w:rPr>
          <w:rFonts w:hint="eastAsia" w:ascii="仿宋_GB2312" w:hAnsi="仿宋_GB2312" w:eastAsia="仿宋_GB2312" w:cs="仿宋_GB2312"/>
          <w:color w:val="auto"/>
          <w:sz w:val="32"/>
          <w:szCs w:val="32"/>
          <w:highlight w:val="none"/>
          <w:lang w:val="en-US" w:eastAsia="zh-CN"/>
        </w:rPr>
        <w:t>和美乡村片区建设。注重保护传承乡村特色风貌，实施“三师联创”机制，开展中兴镇富圩单元、新村乡新乐单元“沪派江南”试点营造工作。稳步推进农民相对集中居住，竣工交</w:t>
      </w:r>
      <w:r>
        <w:rPr>
          <w:rFonts w:hint="eastAsia" w:ascii="仿宋_GB2312" w:hAnsi="仿宋_GB2312" w:eastAsia="仿宋_GB2312" w:cs="仿宋_GB2312"/>
          <w:b w:val="0"/>
          <w:color w:val="auto"/>
          <w:w w:val="100"/>
          <w:sz w:val="32"/>
          <w:szCs w:val="32"/>
          <w:highlight w:val="none"/>
          <w:lang w:val="en-US" w:eastAsia="zh-CN"/>
        </w:rPr>
        <w:t>付港西镇、陈家镇安置房项目，累计提供房源4926套。</w:t>
      </w:r>
      <w:r>
        <w:rPr>
          <w:rFonts w:hint="eastAsia" w:ascii="仿宋_GB2312" w:hAnsi="仿宋_GB2312" w:eastAsia="仿宋_GB2312" w:cs="仿宋_GB2312"/>
          <w:color w:val="auto"/>
          <w:kern w:val="2"/>
          <w:sz w:val="32"/>
          <w:szCs w:val="32"/>
          <w:highlight w:val="none"/>
          <w:lang w:val="en-US" w:eastAsia="zh-CN" w:bidi="ar-SA"/>
        </w:rPr>
        <w:t>落实乡村建筑师制度，加强乡村建设工匠培训</w:t>
      </w:r>
      <w:r>
        <w:rPr>
          <w:rFonts w:hint="eastAsia" w:ascii="仿宋_GB2312" w:hAnsi="仿宋_GB2312" w:eastAsia="仿宋_GB2312" w:cs="仿宋_GB2312"/>
          <w:color w:val="auto"/>
          <w:kern w:val="2"/>
          <w:sz w:val="32"/>
          <w:szCs w:val="32"/>
          <w:highlight w:val="none"/>
          <w:lang w:val="en-US" w:eastAsia="zh-Hans" w:bidi="ar-SA"/>
        </w:rPr>
        <w:t>和</w:t>
      </w:r>
      <w:r>
        <w:rPr>
          <w:rFonts w:hint="eastAsia" w:ascii="仿宋_GB2312" w:hAnsi="仿宋_GB2312" w:eastAsia="仿宋_GB2312" w:cs="仿宋_GB2312"/>
          <w:color w:val="auto"/>
          <w:kern w:val="2"/>
          <w:sz w:val="32"/>
          <w:szCs w:val="32"/>
          <w:highlight w:val="none"/>
          <w:lang w:val="en-US" w:eastAsia="zh-CN" w:bidi="ar-SA"/>
        </w:rPr>
        <w:t>农房建设管理，</w:t>
      </w:r>
      <w:r>
        <w:rPr>
          <w:rFonts w:hint="eastAsia" w:ascii="仿宋_GB2312" w:hAnsi="仿宋_GB2312" w:eastAsia="仿宋_GB2312" w:cs="仿宋_GB2312"/>
          <w:color w:val="auto"/>
          <w:kern w:val="2"/>
          <w:sz w:val="32"/>
          <w:szCs w:val="32"/>
          <w:highlight w:val="none"/>
          <w:lang w:val="en-US" w:eastAsia="zh-Hans" w:bidi="ar-SA"/>
        </w:rPr>
        <w:t>推动农村自建房安全</w:t>
      </w:r>
      <w:r>
        <w:rPr>
          <w:rFonts w:hint="eastAsia" w:ascii="仿宋_GB2312" w:hAnsi="仿宋_GB2312" w:eastAsia="仿宋_GB2312" w:cs="仿宋_GB2312"/>
          <w:color w:val="auto"/>
          <w:kern w:val="2"/>
          <w:sz w:val="32"/>
          <w:szCs w:val="32"/>
          <w:highlight w:val="none"/>
          <w:lang w:val="en-US" w:eastAsia="zh-CN" w:bidi="ar-SA"/>
        </w:rPr>
        <w:t>排查</w:t>
      </w:r>
      <w:r>
        <w:rPr>
          <w:rFonts w:hint="eastAsia" w:ascii="仿宋_GB2312" w:hAnsi="仿宋_GB2312" w:eastAsia="仿宋_GB2312" w:cs="仿宋_GB2312"/>
          <w:color w:val="auto"/>
          <w:kern w:val="2"/>
          <w:sz w:val="32"/>
          <w:szCs w:val="32"/>
          <w:highlight w:val="none"/>
          <w:lang w:val="en-US" w:eastAsia="zh-Hans" w:bidi="ar-SA"/>
        </w:rPr>
        <w:t>整治</w:t>
      </w:r>
      <w:r>
        <w:rPr>
          <w:rFonts w:hint="eastAsia" w:ascii="仿宋_GB2312" w:hAnsi="仿宋_GB2312" w:eastAsia="仿宋_GB2312" w:cs="仿宋_GB2312"/>
          <w:color w:val="auto"/>
          <w:kern w:val="2"/>
          <w:sz w:val="32"/>
          <w:szCs w:val="32"/>
          <w:highlight w:val="none"/>
          <w:lang w:val="en-US" w:eastAsia="zh-CN" w:bidi="ar-SA"/>
        </w:rPr>
        <w:t>和低收入户危旧房改造。</w:t>
      </w:r>
      <w:r>
        <w:rPr>
          <w:rFonts w:hint="eastAsia" w:ascii="仿宋_GB2312" w:hAnsi="仿宋_GB2312" w:eastAsia="仿宋_GB2312" w:cs="仿宋_GB2312"/>
          <w:b/>
          <w:bCs/>
          <w:color w:val="auto"/>
          <w:sz w:val="32"/>
          <w:szCs w:val="32"/>
          <w:highlight w:val="none"/>
          <w:lang w:val="en-US" w:eastAsia="zh-CN"/>
        </w:rPr>
        <w:t>全域优化农村人居环境。</w:t>
      </w:r>
      <w:r>
        <w:rPr>
          <w:rFonts w:hint="eastAsia" w:ascii="仿宋_GB2312" w:hAnsi="仿宋_GB2312" w:eastAsia="仿宋_GB2312" w:cs="仿宋_GB2312"/>
          <w:b w:val="0"/>
          <w:color w:val="auto"/>
          <w:w w:val="100"/>
          <w:sz w:val="32"/>
          <w:szCs w:val="32"/>
          <w:highlight w:val="none"/>
          <w:lang w:val="en-US" w:eastAsia="zh-CN"/>
        </w:rPr>
        <w:t>开展村庄清洁行动，</w:t>
      </w:r>
      <w:r>
        <w:rPr>
          <w:rFonts w:hint="eastAsia" w:ascii="仿宋_GB2312" w:hAnsi="仿宋_GB2312" w:eastAsia="仿宋_GB2312" w:cs="仿宋_GB2312"/>
          <w:color w:val="auto"/>
          <w:sz w:val="32"/>
          <w:szCs w:val="32"/>
          <w:highlight w:val="none"/>
          <w:lang w:val="en-US" w:eastAsia="zh-CN"/>
        </w:rPr>
        <w:t>建设乡村美丽庭院9万户</w:t>
      </w:r>
      <w:r>
        <w:rPr>
          <w:rFonts w:hint="eastAsia" w:ascii="仿宋_GB2312" w:hAnsi="仿宋_GB2312" w:eastAsia="仿宋_GB2312" w:cs="仿宋_GB2312"/>
          <w:color w:val="auto"/>
          <w:sz w:val="32"/>
          <w:szCs w:val="32"/>
          <w:highlight w:val="none"/>
          <w:lang w:eastAsia="zh-CN"/>
        </w:rPr>
        <w:t>，创</w:t>
      </w:r>
      <w:r>
        <w:rPr>
          <w:rFonts w:hint="eastAsia" w:ascii="仿宋_GB2312" w:hAnsi="仿宋_GB2312" w:eastAsia="仿宋_GB2312" w:cs="仿宋_GB2312"/>
          <w:color w:val="auto"/>
          <w:kern w:val="2"/>
          <w:sz w:val="32"/>
          <w:szCs w:val="32"/>
          <w:highlight w:val="none"/>
          <w:lang w:val="en-US" w:eastAsia="zh-CN" w:bidi="ar-SA"/>
        </w:rPr>
        <w:t>建“零”违建村居，农村生活污水治理（管控）率达98%以上，农村生活垃圾实</w:t>
      </w:r>
      <w:r>
        <w:rPr>
          <w:rFonts w:hint="eastAsia" w:ascii="仿宋_GB2312" w:hAnsi="仿宋_GB2312" w:eastAsia="仿宋_GB2312" w:cs="仿宋_GB2312"/>
          <w:color w:val="auto"/>
          <w:sz w:val="32"/>
          <w:szCs w:val="32"/>
          <w:highlight w:val="none"/>
          <w:lang w:val="en-US" w:eastAsia="zh-CN"/>
        </w:rPr>
        <w:t>现100%有效收集、无害化处理，完善人居环境农民参与机制和长效管护机制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提档升级农村公共基础设施，累计改造</w:t>
      </w:r>
      <w:r>
        <w:rPr>
          <w:rFonts w:hint="eastAsia" w:ascii="仿宋_GB2312" w:hAnsi="仿宋_GB2312" w:eastAsia="仿宋_GB2312" w:cs="仿宋_GB2312"/>
          <w:b w:val="0"/>
          <w:color w:val="auto"/>
          <w:w w:val="100"/>
          <w:sz w:val="32"/>
          <w:szCs w:val="32"/>
          <w:highlight w:val="none"/>
          <w:lang w:val="en-US" w:eastAsia="zh-CN"/>
        </w:rPr>
        <w:t>农村公路196公里，农村公路总里程数居全市之首，</w:t>
      </w:r>
      <w:r>
        <w:rPr>
          <w:rFonts w:hint="eastAsia" w:ascii="仿宋_GB2312" w:hAnsi="仿宋_GB2312" w:eastAsia="仿宋_GB2312" w:cs="仿宋_GB2312"/>
          <w:color w:val="auto"/>
          <w:sz w:val="32"/>
          <w:szCs w:val="32"/>
          <w:highlight w:val="none"/>
        </w:rPr>
        <w:t>建成5G基站</w:t>
      </w:r>
      <w:r>
        <w:rPr>
          <w:rFonts w:hint="eastAsia" w:ascii="仿宋_GB2312" w:hAnsi="仿宋_GB2312" w:eastAsia="仿宋_GB2312" w:cs="仿宋_GB2312"/>
          <w:strike w:val="0"/>
          <w:dstrike w:val="0"/>
          <w:color w:val="auto"/>
          <w:sz w:val="32"/>
          <w:szCs w:val="32"/>
          <w:highlight w:val="none"/>
          <w:lang w:val="en-US" w:eastAsia="zh-CN"/>
        </w:rPr>
        <w:t>4318</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万人基站数全市领先。</w:t>
      </w:r>
      <w:r>
        <w:rPr>
          <w:rFonts w:hint="eastAsia" w:ascii="仿宋_GB2312" w:hAnsi="仿宋_GB2312" w:eastAsia="仿宋_GB2312" w:cs="仿宋_GB2312"/>
          <w:b/>
          <w:bCs/>
          <w:color w:val="auto"/>
          <w:sz w:val="32"/>
          <w:szCs w:val="32"/>
          <w:highlight w:val="none"/>
          <w:lang w:val="en-US" w:eastAsia="zh-CN"/>
        </w:rPr>
        <w:t>全面提升农村生态质量。</w:t>
      </w:r>
      <w:r>
        <w:rPr>
          <w:rFonts w:hint="eastAsia" w:ascii="仿宋_GB2312" w:hAnsi="仿宋_GB2312" w:eastAsia="仿宋_GB2312" w:cs="仿宋_GB2312"/>
          <w:b w:val="0"/>
          <w:color w:val="auto"/>
          <w:w w:val="100"/>
          <w:sz w:val="32"/>
          <w:szCs w:val="32"/>
          <w:highlight w:val="none"/>
          <w:lang w:val="en-US" w:eastAsia="zh-CN"/>
        </w:rPr>
        <w:t>稳步提升生态要素品质，生态环境质量持续向好，完成市</w:t>
      </w:r>
      <w:r>
        <w:rPr>
          <w:rFonts w:hint="eastAsia" w:ascii="仿宋_GB2312" w:hAnsi="仿宋_GB2312" w:eastAsia="仿宋_GB2312" w:cs="仿宋_GB2312"/>
          <w:color w:val="auto"/>
          <w:sz w:val="32"/>
          <w:szCs w:val="32"/>
          <w:highlight w:val="none"/>
        </w:rPr>
        <w:t>级生态清洁小流域示范点创建</w:t>
      </w:r>
      <w:r>
        <w:rPr>
          <w:rFonts w:hint="eastAsia" w:ascii="仿宋_GB2312" w:hAnsi="仿宋_GB2312" w:eastAsia="仿宋_GB2312" w:cs="仿宋_GB2312"/>
          <w:strike w:val="0"/>
          <w:dstrike w:val="0"/>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个、</w:t>
      </w:r>
      <w:r>
        <w:rPr>
          <w:rFonts w:hint="eastAsia" w:ascii="仿宋_GB2312" w:hAnsi="仿宋_GB2312" w:eastAsia="仿宋_GB2312" w:cs="仿宋_GB2312"/>
          <w:color w:val="auto"/>
          <w:sz w:val="32"/>
          <w:szCs w:val="32"/>
          <w:highlight w:val="none"/>
        </w:rPr>
        <w:t>水美村庄试点区域建设</w:t>
      </w:r>
      <w:r>
        <w:rPr>
          <w:rFonts w:hint="eastAsia" w:ascii="仿宋_GB2312" w:hAnsi="仿宋_GB2312" w:eastAsia="仿宋_GB2312" w:cs="仿宋_GB2312"/>
          <w:color w:val="auto"/>
          <w:sz w:val="32"/>
          <w:szCs w:val="32"/>
          <w:highlight w:val="none"/>
          <w:lang w:val="en-US" w:eastAsia="zh-CN"/>
        </w:rPr>
        <w:t>6个</w:t>
      </w:r>
      <w:r>
        <w:rPr>
          <w:rFonts w:hint="eastAsia" w:ascii="仿宋_GB2312" w:hAnsi="仿宋_GB2312" w:eastAsia="仿宋_GB2312" w:cs="仿宋_GB2312"/>
          <w:b w:val="0"/>
          <w:color w:val="auto"/>
          <w:w w:val="100"/>
          <w:sz w:val="32"/>
          <w:szCs w:val="32"/>
          <w:highlight w:val="none"/>
          <w:lang w:val="en-US" w:eastAsia="zh-CN"/>
        </w:rPr>
        <w:t>，</w:t>
      </w:r>
      <w:r>
        <w:rPr>
          <w:rFonts w:hint="eastAsia" w:ascii="仿宋_GB2312" w:hAnsi="仿宋_GB2312" w:eastAsia="仿宋_GB2312" w:cs="仿宋_GB2312"/>
          <w:color w:val="auto"/>
          <w:sz w:val="32"/>
          <w:szCs w:val="32"/>
          <w:highlight w:val="none"/>
        </w:rPr>
        <w:t>环境空气质量（AQI）优良率</w:t>
      </w:r>
      <w:r>
        <w:rPr>
          <w:rFonts w:hint="eastAsia" w:ascii="仿宋_GB2312" w:hAnsi="仿宋_GB2312" w:eastAsia="仿宋_GB2312" w:cs="仿宋_GB2312"/>
          <w:color w:val="auto"/>
          <w:sz w:val="32"/>
          <w:szCs w:val="32"/>
          <w:highlight w:val="none"/>
          <w:lang w:val="en-US" w:eastAsia="zh-CN"/>
        </w:rPr>
        <w:t>达</w:t>
      </w:r>
      <w:r>
        <w:rPr>
          <w:rFonts w:hint="eastAsia" w:ascii="仿宋_GB2312" w:hAnsi="仿宋_GB2312" w:eastAsia="仿宋_GB2312" w:cs="仿宋_GB2312"/>
          <w:strike w:val="0"/>
          <w:dstrike w:val="0"/>
          <w:color w:val="auto"/>
          <w:sz w:val="32"/>
          <w:szCs w:val="32"/>
          <w:highlight w:val="none"/>
          <w:lang w:val="en-US" w:eastAsia="zh-CN"/>
        </w:rPr>
        <w:t>88.4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color w:val="auto"/>
          <w:w w:val="100"/>
          <w:sz w:val="32"/>
          <w:szCs w:val="32"/>
          <w:highlight w:val="none"/>
          <w:lang w:val="en-US" w:eastAsia="zh-CN"/>
        </w:rPr>
        <w:t>，森林覆盖</w:t>
      </w:r>
      <w:r>
        <w:rPr>
          <w:rFonts w:hint="eastAsia" w:ascii="仿宋_GB2312" w:hAnsi="仿宋_GB2312" w:eastAsia="仿宋_GB2312" w:cs="仿宋_GB2312"/>
          <w:b w:val="0"/>
          <w:color w:val="auto"/>
          <w:w w:val="100"/>
          <w:sz w:val="32"/>
          <w:szCs w:val="32"/>
          <w:highlight w:val="none"/>
          <w:u w:val="none"/>
          <w:lang w:val="en-US" w:eastAsia="zh-CN"/>
        </w:rPr>
        <w:t>率保持稳定。</w:t>
      </w:r>
      <w:r>
        <w:rPr>
          <w:rFonts w:hint="eastAsia" w:ascii="仿宋_GB2312" w:hAnsi="仿宋_GB2312" w:eastAsia="仿宋_GB2312" w:cs="仿宋_GB2312"/>
          <w:color w:val="auto"/>
          <w:sz w:val="32"/>
          <w:szCs w:val="32"/>
          <w:highlight w:val="none"/>
          <w:u w:val="none"/>
          <w:lang w:eastAsia="zh-CN"/>
        </w:rPr>
        <w:t>实施村庄</w:t>
      </w:r>
      <w:r>
        <w:rPr>
          <w:rFonts w:hint="eastAsia" w:ascii="仿宋_GB2312" w:hAnsi="仿宋_GB2312" w:eastAsia="仿宋_GB2312" w:cs="仿宋_GB2312"/>
          <w:color w:val="auto"/>
          <w:sz w:val="32"/>
          <w:szCs w:val="32"/>
          <w:highlight w:val="none"/>
          <w:lang w:eastAsia="zh-CN"/>
        </w:rPr>
        <w:t>绿化行动，建设千亩</w:t>
      </w:r>
      <w:r>
        <w:rPr>
          <w:rFonts w:hint="eastAsia" w:ascii="仿宋_GB2312" w:hAnsi="仿宋_GB2312" w:eastAsia="仿宋_GB2312" w:cs="仿宋_GB2312"/>
          <w:color w:val="auto"/>
          <w:sz w:val="32"/>
          <w:szCs w:val="32"/>
          <w:highlight w:val="none"/>
          <w:lang w:val="en-US" w:eastAsia="zh-CN"/>
        </w:rPr>
        <w:t>开放休闲林地6个</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27座休闲森林公园纳入本市休闲森林公园名录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引导能源体系向绿色低碳转型，全区可再生能源发电量占全社会用电量比重达超过36%。持续开展外来入侵物种治理，有效遏制</w:t>
      </w:r>
      <w:r>
        <w:rPr>
          <w:rFonts w:hint="eastAsia" w:ascii="仿宋_GB2312" w:hAnsi="仿宋_GB2312" w:eastAsia="仿宋_GB2312" w:cs="仿宋_GB2312"/>
          <w:color w:val="auto"/>
          <w:sz w:val="32"/>
          <w:szCs w:val="32"/>
          <w:highlight w:val="none"/>
        </w:rPr>
        <w:t>“一枝黄花”、福寿螺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互花米草</w:t>
      </w:r>
      <w:r>
        <w:rPr>
          <w:rFonts w:hint="eastAsia" w:ascii="仿宋_GB2312" w:hAnsi="仿宋_GB2312" w:eastAsia="仿宋_GB2312" w:cs="仿宋_GB2312"/>
          <w:color w:val="auto"/>
          <w:sz w:val="32"/>
          <w:szCs w:val="32"/>
          <w:highlight w:val="none"/>
        </w:rPr>
        <w:t>等外来入侵物种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长江禁捕水域保持“四清四无”良好态势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实现全天候、全水域执法监管和“一网统管”</w:t>
      </w:r>
      <w:r>
        <w:rPr>
          <w:rFonts w:hint="eastAsia" w:ascii="仿宋_GB2312" w:hAnsi="仿宋_GB2312" w:eastAsia="仿宋_GB2312" w:cs="仿宋_GB2312"/>
          <w:color w:val="auto"/>
          <w:sz w:val="32"/>
          <w:szCs w:val="32"/>
          <w:highlight w:val="none"/>
          <w:lang w:eastAsia="zh-CN"/>
        </w:rPr>
        <w:t>。</w:t>
      </w:r>
    </w:p>
    <w:p w14:paraId="5D37EB3B">
      <w:pPr>
        <w:pStyle w:val="16"/>
        <w:keepNext w:val="0"/>
        <w:keepLines w:val="0"/>
        <w:pageBreakBefore w:val="0"/>
        <w:kinsoku/>
        <w:wordWrap/>
        <w:overflowPunct/>
        <w:topLinePunct w:val="0"/>
        <w:autoSpaceDE/>
        <w:autoSpaceDN/>
        <w:bidi w:val="0"/>
        <w:adjustRightInd w:val="0"/>
        <w:snapToGrid w:val="0"/>
        <w:spacing w:line="560" w:lineRule="exact"/>
        <w:ind w:right="0" w:firstLine="643"/>
        <w:jc w:val="both"/>
        <w:textAlignment w:val="auto"/>
        <w:rPr>
          <w:rFonts w:hint="eastAsia" w:ascii="仿宋_GB2312" w:hAnsi="仿宋_GB2312" w:eastAsia="仿宋_GB2312" w:cs="仿宋_GB2312"/>
          <w:b/>
          <w:bCs/>
          <w:color w:val="auto"/>
          <w:w w:val="100"/>
          <w:kern w:val="2"/>
          <w:sz w:val="32"/>
          <w:szCs w:val="32"/>
          <w:highlight w:val="none"/>
          <w:lang w:val="en-US" w:eastAsia="zh-CN" w:bidi="ar-SA"/>
        </w:rPr>
      </w:pPr>
      <w:r>
        <w:rPr>
          <w:rFonts w:hint="eastAsia" w:hAnsi="仿宋_GB2312" w:cs="仿宋_GB2312"/>
          <w:b/>
          <w:bCs/>
          <w:color w:val="auto"/>
          <w:highlight w:val="none"/>
          <w:lang w:val="en-US" w:eastAsia="zh-CN"/>
        </w:rPr>
        <w:t>4.</w:t>
      </w:r>
      <w:r>
        <w:rPr>
          <w:rFonts w:hint="eastAsia" w:hAnsi="仿宋_GB2312" w:cs="仿宋_GB2312"/>
          <w:b/>
          <w:bCs/>
          <w:color w:val="auto"/>
          <w:highlight w:val="none"/>
        </w:rPr>
        <w:t>民生福祉持续</w:t>
      </w:r>
      <w:r>
        <w:rPr>
          <w:rFonts w:hint="eastAsia" w:hAnsi="仿宋_GB2312" w:cs="仿宋_GB2312"/>
          <w:b/>
          <w:bCs/>
          <w:color w:val="auto"/>
          <w:highlight w:val="none"/>
          <w:lang w:val="en-US" w:eastAsia="zh-CN"/>
        </w:rPr>
        <w:t>增进</w:t>
      </w:r>
      <w:r>
        <w:rPr>
          <w:rFonts w:hint="eastAsia" w:hAnsi="仿宋_GB2312" w:cs="仿宋_GB2312"/>
          <w:b/>
          <w:bCs/>
          <w:color w:val="auto"/>
          <w:highlight w:val="none"/>
        </w:rPr>
        <w:t>，“幸福乐园”</w:t>
      </w:r>
      <w:r>
        <w:rPr>
          <w:rFonts w:hint="eastAsia" w:hAnsi="仿宋_GB2312" w:cs="仿宋_GB2312"/>
          <w:b/>
          <w:bCs/>
          <w:color w:val="auto"/>
          <w:highlight w:val="none"/>
          <w:lang w:val="en-US" w:eastAsia="zh-CN"/>
        </w:rPr>
        <w:t>普惠共享</w:t>
      </w:r>
    </w:p>
    <w:p w14:paraId="3DBF6A4E">
      <w:pPr>
        <w:pStyle w:val="16"/>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0"/>
        <w:jc w:val="both"/>
        <w:textAlignment w:val="auto"/>
        <w:rPr>
          <w:rFonts w:hint="eastAsia" w:hAnsi="仿宋_GB2312" w:cs="仿宋_GB2312"/>
          <w:color w:val="auto"/>
          <w:highlight w:val="none"/>
          <w:lang w:val="en-US" w:eastAsia="zh-CN"/>
        </w:rPr>
      </w:pPr>
      <w:r>
        <w:rPr>
          <w:rFonts w:hint="eastAsia" w:ascii="仿宋_GB2312" w:hAnsi="仿宋_GB2312" w:eastAsia="仿宋_GB2312" w:cs="仿宋_GB2312"/>
          <w:bCs/>
          <w:color w:val="000000"/>
          <w:sz w:val="32"/>
          <w:szCs w:val="32"/>
          <w:lang w:eastAsia="zh-CN"/>
        </w:rPr>
        <w:t>坚持</w:t>
      </w:r>
      <w:r>
        <w:rPr>
          <w:rFonts w:hint="eastAsia" w:ascii="仿宋_GB2312" w:hAnsi="仿宋_GB2312" w:eastAsia="仿宋_GB2312" w:cs="仿宋_GB2312"/>
          <w:bCs/>
          <w:color w:val="000000"/>
          <w:sz w:val="32"/>
          <w:szCs w:val="32"/>
        </w:rPr>
        <w:t>党建引领，</w:t>
      </w:r>
      <w:r>
        <w:rPr>
          <w:rFonts w:hint="eastAsia" w:hAnsi="仿宋_GB2312" w:cs="仿宋_GB2312"/>
          <w:color w:val="auto"/>
          <w:highlight w:val="none"/>
          <w:lang w:val="en-US" w:eastAsia="zh-CN"/>
        </w:rPr>
        <w:t>以乡村社会全面均衡发展为基础，优化公共服务保障，</w:t>
      </w:r>
      <w:r>
        <w:rPr>
          <w:rFonts w:hint="eastAsia" w:ascii="仿宋_GB2312" w:hAnsi="仿宋_GB2312" w:eastAsia="仿宋_GB2312" w:cs="仿宋_GB2312"/>
          <w:bCs/>
          <w:color w:val="000000"/>
          <w:sz w:val="32"/>
          <w:szCs w:val="32"/>
        </w:rPr>
        <w:t>提升乡村治理水平</w:t>
      </w:r>
      <w:r>
        <w:rPr>
          <w:rFonts w:hint="eastAsia" w:hAnsi="仿宋_GB2312" w:cs="仿宋_GB2312"/>
          <w:bCs/>
          <w:color w:val="000000"/>
          <w:sz w:val="32"/>
          <w:szCs w:val="32"/>
          <w:lang w:eastAsia="zh-CN"/>
        </w:rPr>
        <w:t>，</w:t>
      </w:r>
      <w:r>
        <w:rPr>
          <w:rFonts w:hint="eastAsia" w:hAnsi="仿宋_GB2312" w:cs="仿宋_GB2312"/>
          <w:color w:val="auto"/>
          <w:highlight w:val="none"/>
          <w:lang w:val="en-US" w:eastAsia="zh-CN"/>
        </w:rPr>
        <w:t>助力农民长效增收</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auto"/>
          <w:kern w:val="2"/>
          <w:sz w:val="32"/>
          <w:szCs w:val="32"/>
          <w:highlight w:val="none"/>
          <w:lang w:val="en-US" w:eastAsia="zh-CN" w:bidi="ar-SA"/>
        </w:rPr>
        <w:t>农民收入稳步增加。</w:t>
      </w:r>
      <w:r>
        <w:rPr>
          <w:rFonts w:hint="eastAsia" w:hAnsi="仿宋_GB2312" w:cs="仿宋_GB2312"/>
          <w:color w:val="auto"/>
          <w:highlight w:val="none"/>
          <w:lang w:eastAsia="zh-CN"/>
        </w:rPr>
        <w:t>推动落实农民就业扶持政策</w:t>
      </w:r>
      <w:r>
        <w:rPr>
          <w:rFonts w:hint="eastAsia" w:hAnsi="仿宋_GB2312" w:cs="仿宋_GB2312"/>
          <w:color w:val="auto"/>
          <w:highlight w:val="none"/>
        </w:rPr>
        <w:t>，培育新型职业农民5715名，开展农民非农培训4576人</w:t>
      </w:r>
      <w:r>
        <w:rPr>
          <w:rFonts w:hint="eastAsia" w:hAnsi="仿宋_GB2312" w:cs="仿宋_GB2312"/>
          <w:color w:val="auto"/>
          <w:highlight w:val="none"/>
          <w:lang w:eastAsia="zh-CN"/>
        </w:rPr>
        <w:t>次</w:t>
      </w:r>
      <w:r>
        <w:rPr>
          <w:rFonts w:hint="eastAsia" w:hAnsi="仿宋_GB2312" w:cs="仿宋_GB2312"/>
          <w:color w:val="auto"/>
          <w:highlight w:val="none"/>
        </w:rPr>
        <w:t>，通过</w:t>
      </w:r>
      <w:r>
        <w:rPr>
          <w:rFonts w:hint="eastAsia" w:hAnsi="仿宋_GB2312" w:cs="仿宋_GB2312"/>
          <w:color w:val="auto"/>
          <w:highlight w:val="none"/>
          <w:lang w:val="en-US" w:eastAsia="zh-CN"/>
        </w:rPr>
        <w:t>设置</w:t>
      </w:r>
      <w:r>
        <w:rPr>
          <w:rFonts w:hint="eastAsia" w:hAnsi="仿宋_GB2312" w:cs="仿宋_GB2312"/>
          <w:color w:val="auto"/>
          <w:highlight w:val="none"/>
        </w:rPr>
        <w:t>公益性岗位</w:t>
      </w:r>
      <w:r>
        <w:rPr>
          <w:rFonts w:hint="eastAsia" w:hAnsi="仿宋_GB2312" w:cs="仿宋_GB2312"/>
          <w:color w:val="auto"/>
          <w:highlight w:val="none"/>
          <w:lang w:val="en-US" w:eastAsia="zh-CN"/>
        </w:rPr>
        <w:t>累计</w:t>
      </w:r>
      <w:r>
        <w:rPr>
          <w:rFonts w:hint="eastAsia" w:hAnsi="仿宋_GB2312" w:cs="仿宋_GB2312"/>
          <w:color w:val="auto"/>
          <w:highlight w:val="none"/>
        </w:rPr>
        <w:t>安置就业困难人员</w:t>
      </w:r>
      <w:r>
        <w:rPr>
          <w:rFonts w:hint="eastAsia" w:hAnsi="仿宋_GB2312" w:cs="仿宋_GB2312"/>
          <w:strike w:val="0"/>
          <w:dstrike w:val="0"/>
          <w:color w:val="auto"/>
          <w:highlight w:val="none"/>
          <w:lang w:val="en-US" w:eastAsia="zh-CN"/>
        </w:rPr>
        <w:t>1626</w:t>
      </w:r>
      <w:r>
        <w:rPr>
          <w:rFonts w:hint="eastAsia" w:hAnsi="仿宋_GB2312" w:cs="仿宋_GB2312"/>
          <w:color w:val="auto"/>
          <w:highlight w:val="none"/>
        </w:rPr>
        <w:t>人。</w:t>
      </w:r>
      <w:r>
        <w:rPr>
          <w:rFonts w:hint="eastAsia" w:hAnsi="仿宋_GB2312" w:cs="仿宋_GB2312"/>
          <w:color w:val="auto"/>
          <w:highlight w:val="none"/>
          <w:lang w:eastAsia="zh-CN"/>
        </w:rPr>
        <w:t>持续提升农村保障水平，</w:t>
      </w:r>
      <w:r>
        <w:rPr>
          <w:rFonts w:hint="eastAsia" w:hAnsi="仿宋_GB2312" w:cs="仿宋_GB2312"/>
          <w:color w:val="auto"/>
          <w:highlight w:val="none"/>
          <w:lang w:val="en-US" w:eastAsia="zh-CN"/>
        </w:rPr>
        <w:t>发放生态岛养老补贴8.28亿元，城乡居保养老金134.25亿元。</w:t>
      </w:r>
      <w:r>
        <w:rPr>
          <w:rFonts w:hint="eastAsia" w:hAnsi="仿宋_GB2312" w:cs="仿宋_GB2312"/>
          <w:color w:val="auto"/>
          <w:highlight w:val="none"/>
          <w:lang w:eastAsia="zh-CN"/>
        </w:rPr>
        <w:t>推动</w:t>
      </w:r>
      <w:r>
        <w:rPr>
          <w:rFonts w:hint="eastAsia" w:hAnsi="仿宋_GB2312" w:cs="仿宋_GB2312"/>
          <w:color w:val="auto"/>
          <w:highlight w:val="none"/>
        </w:rPr>
        <w:t>“家门口”产业</w:t>
      </w:r>
      <w:r>
        <w:rPr>
          <w:rFonts w:hint="eastAsia" w:hAnsi="仿宋_GB2312" w:cs="仿宋_GB2312"/>
          <w:color w:val="auto"/>
          <w:highlight w:val="none"/>
          <w:lang w:eastAsia="zh-CN"/>
        </w:rPr>
        <w:t>发展</w:t>
      </w:r>
      <w:r>
        <w:rPr>
          <w:rFonts w:hint="eastAsia" w:hAnsi="仿宋_GB2312" w:cs="仿宋_GB2312"/>
          <w:color w:val="auto"/>
          <w:highlight w:val="none"/>
        </w:rPr>
        <w:t>，聚焦白山羊、苦草、菌菇、</w:t>
      </w:r>
      <w:r>
        <w:rPr>
          <w:rFonts w:hint="eastAsia" w:hAnsi="仿宋_GB2312" w:cs="仿宋_GB2312"/>
          <w:color w:val="auto"/>
          <w:highlight w:val="none"/>
          <w:lang w:eastAsia="zh-CN"/>
        </w:rPr>
        <w:t>西红花</w:t>
      </w:r>
      <w:r>
        <w:rPr>
          <w:rFonts w:hint="eastAsia" w:hAnsi="仿宋_GB2312" w:cs="仿宋_GB2312"/>
          <w:color w:val="auto"/>
          <w:highlight w:val="none"/>
        </w:rPr>
        <w:t>等</w:t>
      </w:r>
      <w:r>
        <w:rPr>
          <w:rFonts w:hint="eastAsia" w:hAnsi="仿宋_GB2312" w:cs="仿宋_GB2312"/>
          <w:color w:val="auto"/>
          <w:highlight w:val="none"/>
          <w:lang w:eastAsia="zh-CN"/>
        </w:rPr>
        <w:t>特色</w:t>
      </w:r>
      <w:r>
        <w:rPr>
          <w:rFonts w:hint="eastAsia" w:hAnsi="仿宋_GB2312" w:cs="仿宋_GB2312"/>
          <w:color w:val="auto"/>
          <w:highlight w:val="none"/>
        </w:rPr>
        <w:t>领域，</w:t>
      </w:r>
      <w:r>
        <w:rPr>
          <w:rFonts w:hint="eastAsia" w:hAnsi="仿宋_GB2312" w:cs="仿宋_GB2312"/>
          <w:color w:val="auto"/>
          <w:highlight w:val="none"/>
          <w:lang w:val="en-US" w:eastAsia="zh-CN"/>
        </w:rPr>
        <w:t>挖掘打造</w:t>
      </w:r>
      <w:r>
        <w:rPr>
          <w:rFonts w:hint="eastAsia" w:hAnsi="仿宋_GB2312" w:cs="仿宋_GB2312"/>
          <w:color w:val="auto"/>
          <w:highlight w:val="none"/>
          <w:lang w:eastAsia="zh-CN"/>
        </w:rPr>
        <w:t>一批可复制、可推广的“家门口”产业模式，</w:t>
      </w:r>
      <w:r>
        <w:rPr>
          <w:rFonts w:hint="eastAsia" w:hAnsi="仿宋_GB2312" w:cs="仿宋_GB2312"/>
          <w:color w:val="auto"/>
          <w:highlight w:val="none"/>
        </w:rPr>
        <w:t>带动</w:t>
      </w:r>
      <w:r>
        <w:rPr>
          <w:rFonts w:hint="eastAsia" w:hAnsi="仿宋_GB2312" w:cs="仿宋_GB2312"/>
          <w:color w:val="auto"/>
          <w:highlight w:val="none"/>
          <w:lang w:val="en-US" w:eastAsia="zh-CN"/>
        </w:rPr>
        <w:t>农民</w:t>
      </w:r>
      <w:r>
        <w:rPr>
          <w:rFonts w:hint="eastAsia" w:hAnsi="仿宋_GB2312" w:cs="仿宋_GB2312"/>
          <w:color w:val="auto"/>
          <w:highlight w:val="none"/>
        </w:rPr>
        <w:t>群众增收致富。民宿</w:t>
      </w:r>
      <w:r>
        <w:rPr>
          <w:rFonts w:hint="eastAsia" w:hAnsi="仿宋_GB2312" w:cs="仿宋_GB2312"/>
          <w:color w:val="auto"/>
          <w:highlight w:val="none"/>
          <w:lang w:eastAsia="zh-CN"/>
        </w:rPr>
        <w:t>经济</w:t>
      </w:r>
      <w:r>
        <w:rPr>
          <w:rFonts w:hint="eastAsia" w:hAnsi="仿宋_GB2312" w:cs="仿宋_GB2312"/>
          <w:color w:val="auto"/>
          <w:highlight w:val="none"/>
        </w:rPr>
        <w:t>成绩显著，出台全市首个乡村民宿服务质量团体标准，形成建设镇虹桥村等民宿群落，</w:t>
      </w:r>
      <w:r>
        <w:rPr>
          <w:rFonts w:hint="eastAsia" w:hAnsi="仿宋_GB2312" w:cs="仿宋_GB2312"/>
          <w:color w:val="auto"/>
          <w:highlight w:val="none"/>
          <w:lang w:eastAsia="zh-CN"/>
        </w:rPr>
        <w:t>星级民宿数量居全市第一，有效推动农民就地创业就业</w:t>
      </w:r>
      <w:r>
        <w:rPr>
          <w:rFonts w:hint="eastAsia" w:hAnsi="仿宋_GB2312" w:cs="仿宋_GB2312"/>
          <w:color w:val="auto"/>
          <w:highlight w:val="none"/>
        </w:rPr>
        <w:t>。2025年</w:t>
      </w:r>
      <w:r>
        <w:rPr>
          <w:rFonts w:hint="eastAsia" w:hAnsi="仿宋_GB2312" w:cs="仿宋_GB2312"/>
          <w:color w:val="auto"/>
          <w:highlight w:val="none"/>
          <w:lang w:eastAsia="zh-CN"/>
        </w:rPr>
        <w:t>末，</w:t>
      </w:r>
      <w:r>
        <w:rPr>
          <w:rFonts w:hint="eastAsia" w:hAnsi="仿宋_GB2312" w:cs="仿宋_GB2312"/>
          <w:color w:val="auto"/>
          <w:highlight w:val="none"/>
        </w:rPr>
        <w:t>农村居民人均可支配收入</w:t>
      </w:r>
      <w:r>
        <w:rPr>
          <w:rFonts w:hint="eastAsia" w:hAnsi="仿宋_GB2312" w:cs="仿宋_GB2312"/>
          <w:color w:val="auto"/>
          <w:highlight w:val="none"/>
          <w:lang w:val="en-US" w:eastAsia="zh-CN"/>
        </w:rPr>
        <w:t>43049</w:t>
      </w:r>
      <w:r>
        <w:rPr>
          <w:rFonts w:hint="eastAsia" w:hAnsi="仿宋_GB2312" w:cs="仿宋_GB2312"/>
          <w:color w:val="auto"/>
          <w:highlight w:val="none"/>
        </w:rPr>
        <w:t>元，</w:t>
      </w:r>
      <w:r>
        <w:rPr>
          <w:rFonts w:hint="eastAsia" w:hAnsi="仿宋_GB2312" w:cs="仿宋_GB2312"/>
          <w:strike w:val="0"/>
          <w:dstrike w:val="0"/>
          <w:color w:val="auto"/>
          <w:highlight w:val="none"/>
          <w:lang w:val="en-US" w:eastAsia="zh-CN"/>
        </w:rPr>
        <w:t>增幅6%</w:t>
      </w:r>
      <w:r>
        <w:rPr>
          <w:rFonts w:hint="eastAsia" w:hAnsi="仿宋_GB2312" w:cs="仿宋_GB2312"/>
          <w:color w:val="auto"/>
          <w:highlight w:val="none"/>
        </w:rPr>
        <w:t>。</w:t>
      </w:r>
      <w:r>
        <w:rPr>
          <w:rFonts w:hint="eastAsia" w:ascii="仿宋_GB2312" w:hAnsi="仿宋_GB2312" w:eastAsia="仿宋_GB2312" w:cs="仿宋_GB2312"/>
          <w:b/>
          <w:bCs/>
          <w:color w:val="auto"/>
          <w:kern w:val="2"/>
          <w:sz w:val="32"/>
          <w:szCs w:val="32"/>
          <w:highlight w:val="none"/>
          <w:lang w:val="en-US" w:eastAsia="zh-CN" w:bidi="ar-SA"/>
        </w:rPr>
        <w:t>公共服务日益完善。</w:t>
      </w:r>
      <w:r>
        <w:rPr>
          <w:rFonts w:hint="eastAsia" w:hAnsi="仿宋_GB2312" w:cs="仿宋_GB2312"/>
          <w:color w:val="auto"/>
          <w:highlight w:val="none"/>
          <w:lang w:eastAsia="zh-CN"/>
        </w:rPr>
        <w:t>健全“</w:t>
      </w:r>
      <w:r>
        <w:rPr>
          <w:rFonts w:hint="eastAsia" w:hAnsi="仿宋_GB2312" w:cs="仿宋_GB2312"/>
          <w:color w:val="auto"/>
          <w:highlight w:val="none"/>
          <w:lang w:val="en-US" w:eastAsia="zh-CN"/>
        </w:rPr>
        <w:t>15分钟社区生活圈”公共服务功能</w:t>
      </w:r>
      <w:r>
        <w:rPr>
          <w:rFonts w:hint="eastAsia" w:hAnsi="仿宋_GB2312" w:cs="仿宋_GB2312"/>
          <w:color w:val="auto"/>
          <w:highlight w:val="none"/>
        </w:rPr>
        <w:t>，</w:t>
      </w:r>
      <w:r>
        <w:rPr>
          <w:rFonts w:hint="eastAsia" w:hAnsi="仿宋_GB2312" w:cs="仿宋_GB2312"/>
          <w:color w:val="auto"/>
          <w:highlight w:val="none"/>
          <w:lang w:eastAsia="zh-CN"/>
        </w:rPr>
        <w:t>提标改建市级标准化菜市场6家、区级生态集市19家，创建</w:t>
      </w:r>
      <w:r>
        <w:rPr>
          <w:rFonts w:hint="eastAsia" w:hAnsi="仿宋_GB2312" w:cs="仿宋_GB2312"/>
          <w:color w:val="auto"/>
          <w:highlight w:val="none"/>
        </w:rPr>
        <w:t>市级示范睦邻点427个，新增社区长者食堂</w:t>
      </w:r>
      <w:r>
        <w:rPr>
          <w:rFonts w:hint="eastAsia" w:hAnsi="仿宋_GB2312" w:cs="仿宋_GB2312"/>
          <w:color w:val="auto"/>
          <w:highlight w:val="none"/>
          <w:lang w:val="en-US" w:eastAsia="zh-CN"/>
        </w:rPr>
        <w:t>9</w:t>
      </w:r>
      <w:r>
        <w:rPr>
          <w:rFonts w:hint="eastAsia" w:hAnsi="仿宋_GB2312" w:cs="仿宋_GB2312"/>
          <w:color w:val="auto"/>
          <w:highlight w:val="none"/>
        </w:rPr>
        <w:t>家、社区综合为老服务中心（分中心）</w:t>
      </w:r>
      <w:r>
        <w:rPr>
          <w:rFonts w:hint="eastAsia" w:hAnsi="仿宋_GB2312" w:cs="仿宋_GB2312"/>
          <w:color w:val="auto"/>
          <w:highlight w:val="none"/>
          <w:lang w:val="en-US" w:eastAsia="zh-CN"/>
        </w:rPr>
        <w:t>7</w:t>
      </w:r>
      <w:r>
        <w:rPr>
          <w:rFonts w:hint="eastAsia" w:hAnsi="仿宋_GB2312" w:cs="仿宋_GB2312"/>
          <w:color w:val="auto"/>
          <w:highlight w:val="none"/>
        </w:rPr>
        <w:t>家</w:t>
      </w:r>
      <w:r>
        <w:rPr>
          <w:rFonts w:hint="eastAsia" w:hAnsi="仿宋_GB2312" w:cs="仿宋_GB2312"/>
          <w:color w:val="auto"/>
          <w:highlight w:val="none"/>
          <w:lang w:eastAsia="zh-CN"/>
        </w:rPr>
        <w:t>，全区</w:t>
      </w:r>
      <w:r>
        <w:rPr>
          <w:rFonts w:hint="eastAsia" w:hAnsi="仿宋_GB2312" w:cs="仿宋_GB2312"/>
          <w:color w:val="auto"/>
          <w:highlight w:val="none"/>
        </w:rPr>
        <w:t>普惠性托育点覆盖率</w:t>
      </w:r>
      <w:r>
        <w:rPr>
          <w:rFonts w:hint="eastAsia" w:hAnsi="仿宋_GB2312" w:cs="仿宋_GB2312"/>
          <w:color w:val="auto"/>
          <w:highlight w:val="none"/>
          <w:lang w:eastAsia="zh-CN"/>
        </w:rPr>
        <w:t>达</w:t>
      </w:r>
      <w:r>
        <w:rPr>
          <w:rFonts w:hint="eastAsia" w:hAnsi="仿宋_GB2312" w:cs="仿宋_GB2312"/>
          <w:color w:val="auto"/>
          <w:highlight w:val="none"/>
        </w:rPr>
        <w:t>88.9%</w:t>
      </w:r>
      <w:r>
        <w:rPr>
          <w:rFonts w:hint="eastAsia" w:hAnsi="仿宋_GB2312" w:cs="仿宋_GB2312"/>
          <w:color w:val="auto"/>
          <w:highlight w:val="none"/>
          <w:lang w:eastAsia="zh-CN"/>
        </w:rPr>
        <w:t>，</w:t>
      </w:r>
      <w:r>
        <w:rPr>
          <w:rFonts w:hint="eastAsia" w:hAnsi="仿宋_GB2312" w:cs="仿宋_GB2312"/>
          <w:color w:val="auto"/>
          <w:highlight w:val="none"/>
        </w:rPr>
        <w:t>60岁以上重点人群家庭医生签约率</w:t>
      </w:r>
      <w:r>
        <w:rPr>
          <w:rFonts w:hint="eastAsia" w:hAnsi="仿宋_GB2312" w:cs="仿宋_GB2312"/>
          <w:color w:val="auto"/>
          <w:highlight w:val="none"/>
          <w:lang w:val="en-US" w:eastAsia="zh-CN"/>
        </w:rPr>
        <w:t>达</w:t>
      </w:r>
      <w:r>
        <w:rPr>
          <w:rFonts w:hint="eastAsia" w:hAnsi="仿宋_GB2312" w:cs="仿宋_GB2312"/>
          <w:color w:val="auto"/>
          <w:highlight w:val="none"/>
        </w:rPr>
        <w:t>85％以上。</w:t>
      </w:r>
      <w:r>
        <w:rPr>
          <w:rFonts w:hint="eastAsia" w:hAnsi="仿宋_GB2312" w:cs="仿宋_GB2312"/>
          <w:color w:val="auto"/>
          <w:highlight w:val="none"/>
          <w:lang w:val="en-US" w:eastAsia="zh-CN"/>
        </w:rPr>
        <w:t>深化</w:t>
      </w:r>
      <w:r>
        <w:rPr>
          <w:rFonts w:hint="eastAsia" w:hAnsi="仿宋_GB2312" w:cs="仿宋_GB2312"/>
          <w:color w:val="auto"/>
          <w:highlight w:val="none"/>
          <w:lang w:eastAsia="zh-CN"/>
        </w:rPr>
        <w:t>农村综合帮扶工作</w:t>
      </w:r>
      <w:r>
        <w:rPr>
          <w:rFonts w:hint="eastAsia" w:hAnsi="仿宋_GB2312" w:cs="仿宋_GB2312"/>
          <w:color w:val="auto"/>
          <w:highlight w:val="none"/>
          <w:lang w:val="en-US" w:eastAsia="zh-CN"/>
        </w:rPr>
        <w:t>，</w:t>
      </w:r>
      <w:r>
        <w:rPr>
          <w:rFonts w:hint="eastAsia" w:hAnsi="仿宋_GB2312" w:cs="仿宋_GB2312"/>
          <w:color w:val="auto"/>
          <w:highlight w:val="none"/>
          <w:lang w:eastAsia="zh-CN"/>
        </w:rPr>
        <w:t>实施第二轮、第三轮农村综合帮扶，完成</w:t>
      </w:r>
      <w:r>
        <w:rPr>
          <w:rFonts w:hint="eastAsia" w:hAnsi="仿宋_GB2312" w:cs="仿宋_GB2312"/>
          <w:color w:val="auto"/>
          <w:highlight w:val="none"/>
          <w:lang w:val="en-US" w:eastAsia="zh-CN"/>
        </w:rPr>
        <w:t>6个“造血”项目，累计收益约2.4亿元，</w:t>
      </w:r>
      <w:r>
        <w:rPr>
          <w:rFonts w:hint="eastAsia" w:hAnsi="仿宋_GB2312" w:cs="仿宋_GB2312"/>
          <w:color w:val="auto"/>
          <w:highlight w:val="none"/>
        </w:rPr>
        <w:t>覆盖各类困难人群4万余人</w:t>
      </w:r>
      <w:r>
        <w:rPr>
          <w:rFonts w:hint="eastAsia" w:hAnsi="仿宋_GB2312" w:cs="仿宋_GB2312"/>
          <w:color w:val="auto"/>
          <w:highlight w:val="none"/>
          <w:lang w:eastAsia="zh-CN"/>
        </w:rPr>
        <w:t>。</w:t>
      </w:r>
      <w:r>
        <w:rPr>
          <w:rFonts w:hint="eastAsia" w:ascii="仿宋_GB2312" w:hAnsi="仿宋_GB2312" w:eastAsia="仿宋_GB2312" w:cs="仿宋_GB2312"/>
          <w:b/>
          <w:bCs/>
          <w:color w:val="auto"/>
          <w:kern w:val="2"/>
          <w:sz w:val="32"/>
          <w:szCs w:val="32"/>
          <w:highlight w:val="none"/>
          <w:lang w:val="en-US" w:eastAsia="zh-CN" w:bidi="ar-SA"/>
        </w:rPr>
        <w:t>乡风文明更上台阶。</w:t>
      </w:r>
      <w:r>
        <w:rPr>
          <w:rFonts w:hint="eastAsia" w:hAnsi="仿宋_GB2312" w:cs="仿宋_GB2312"/>
          <w:b w:val="0"/>
          <w:bCs w:val="0"/>
          <w:color w:val="auto"/>
          <w:w w:val="100"/>
          <w:kern w:val="2"/>
          <w:sz w:val="32"/>
          <w:szCs w:val="32"/>
          <w:highlight w:val="none"/>
          <w:lang w:val="en-US" w:eastAsia="zh-CN" w:bidi="ar-SA"/>
        </w:rPr>
        <w:t>弘扬乡风文明，</w:t>
      </w:r>
      <w:r>
        <w:rPr>
          <w:rFonts w:hint="eastAsia" w:hAnsi="仿宋_GB2312" w:cs="仿宋_GB2312"/>
          <w:color w:val="auto"/>
          <w:highlight w:val="none"/>
        </w:rPr>
        <w:t>开展农村移风易俗、道德模范等选树创建，传承弘扬优秀传统文化，打造市级及以上“非遗”项目20个</w:t>
      </w:r>
      <w:r>
        <w:rPr>
          <w:rFonts w:hint="eastAsia" w:hAnsi="仿宋_GB2312" w:cs="仿宋_GB2312"/>
          <w:color w:val="auto"/>
          <w:highlight w:val="none"/>
          <w:lang w:eastAsia="zh-CN"/>
        </w:rPr>
        <w:t>。</w:t>
      </w:r>
      <w:r>
        <w:rPr>
          <w:rFonts w:hint="eastAsia" w:hAnsi="仿宋_GB2312" w:cs="仿宋_GB2312"/>
          <w:color w:val="auto"/>
          <w:highlight w:val="none"/>
        </w:rPr>
        <w:t>强化文体服务供给，</w:t>
      </w:r>
      <w:r>
        <w:rPr>
          <w:rFonts w:hint="eastAsia" w:hAnsi="仿宋_GB2312" w:cs="仿宋_GB2312"/>
          <w:color w:val="auto"/>
          <w:highlight w:val="none"/>
          <w:lang w:eastAsia="zh-CN"/>
        </w:rPr>
        <w:t>农家书屋和社区智慧健康驿站实现全覆盖，举办“四季村晚”“农民丰收节”等全国性文化活动</w:t>
      </w:r>
      <w:r>
        <w:rPr>
          <w:rFonts w:hint="eastAsia" w:hAnsi="仿宋_GB2312" w:cs="仿宋_GB2312"/>
          <w:color w:val="auto"/>
          <w:highlight w:val="none"/>
        </w:rPr>
        <w:t>。</w:t>
      </w:r>
      <w:r>
        <w:rPr>
          <w:rFonts w:hint="eastAsia" w:hAnsi="仿宋_GB2312" w:cs="仿宋_GB2312"/>
          <w:color w:val="auto"/>
          <w:highlight w:val="none"/>
          <w:lang w:eastAsia="zh-CN"/>
        </w:rPr>
        <w:t>提升文明村镇和文明家庭创建水平，成功创建</w:t>
      </w:r>
      <w:r>
        <w:rPr>
          <w:rFonts w:hint="eastAsia" w:hAnsi="仿宋_GB2312" w:cs="仿宋_GB2312"/>
          <w:color w:val="auto"/>
          <w:highlight w:val="none"/>
        </w:rPr>
        <w:t>市级及以上文明村镇95个</w:t>
      </w:r>
      <w:r>
        <w:rPr>
          <w:rFonts w:hint="eastAsia" w:hAnsi="仿宋_GB2312" w:cs="仿宋_GB2312"/>
          <w:color w:val="auto"/>
          <w:highlight w:val="none"/>
          <w:lang w:eastAsia="zh-CN"/>
        </w:rPr>
        <w:t>。</w:t>
      </w:r>
      <w:r>
        <w:rPr>
          <w:rFonts w:hint="eastAsia" w:ascii="仿宋_GB2312" w:hAnsi="仿宋_GB2312" w:eastAsia="仿宋_GB2312" w:cs="仿宋_GB2312"/>
          <w:b/>
          <w:bCs/>
          <w:color w:val="auto"/>
          <w:kern w:val="2"/>
          <w:sz w:val="32"/>
          <w:szCs w:val="32"/>
          <w:highlight w:val="none"/>
          <w:lang w:val="en-US" w:eastAsia="zh-CN" w:bidi="ar-SA"/>
        </w:rPr>
        <w:t>乡村治理成效</w:t>
      </w:r>
      <w:r>
        <w:rPr>
          <w:rFonts w:hint="eastAsia" w:hAnsi="仿宋_GB2312" w:cs="仿宋_GB2312"/>
          <w:b/>
          <w:bCs/>
          <w:color w:val="auto"/>
          <w:kern w:val="2"/>
          <w:sz w:val="32"/>
          <w:szCs w:val="32"/>
          <w:highlight w:val="none"/>
          <w:lang w:val="en-US" w:eastAsia="zh-CN" w:bidi="ar-SA"/>
        </w:rPr>
        <w:t>显著</w:t>
      </w:r>
      <w:r>
        <w:rPr>
          <w:rFonts w:hint="eastAsia" w:ascii="仿宋_GB2312" w:hAnsi="仿宋_GB2312" w:eastAsia="仿宋_GB2312" w:cs="仿宋_GB2312"/>
          <w:b/>
          <w:bCs/>
          <w:color w:val="auto"/>
          <w:kern w:val="2"/>
          <w:sz w:val="32"/>
          <w:szCs w:val="32"/>
          <w:highlight w:val="none"/>
          <w:lang w:val="en-US" w:eastAsia="zh-CN" w:bidi="ar-SA"/>
        </w:rPr>
        <w:t>。</w:t>
      </w:r>
      <w:r>
        <w:rPr>
          <w:rFonts w:hint="eastAsia" w:hAnsi="仿宋_GB2312" w:cs="仿宋_GB2312"/>
          <w:color w:val="auto"/>
          <w:highlight w:val="none"/>
          <w:lang w:val="en-US" w:eastAsia="zh-CN"/>
        </w:rPr>
        <w:t>坚持自治、法治、德治结合，</w:t>
      </w:r>
      <w:r>
        <w:rPr>
          <w:rFonts w:hint="eastAsia" w:hAnsi="仿宋_GB2312" w:cs="仿宋_GB2312"/>
          <w:strike w:val="0"/>
          <w:dstrike w:val="0"/>
          <w:color w:val="auto"/>
          <w:highlight w:val="none"/>
        </w:rPr>
        <w:t>大力推广</w:t>
      </w:r>
      <w:r>
        <w:rPr>
          <w:rFonts w:hint="eastAsia" w:hAnsi="仿宋_GB2312" w:cs="仿宋_GB2312"/>
          <w:color w:val="auto"/>
          <w:highlight w:val="none"/>
        </w:rPr>
        <w:t>积分制、智慧治理以及“三所联动”矛盾纠纷多元化解机制，</w:t>
      </w:r>
      <w:r>
        <w:rPr>
          <w:rFonts w:hint="eastAsia" w:ascii="仿宋_GB2312" w:hAnsi="仿宋_GB2312" w:eastAsia="仿宋_GB2312" w:cs="仿宋_GB2312"/>
          <w:color w:val="auto"/>
          <w:spacing w:val="0"/>
          <w:sz w:val="32"/>
          <w:szCs w:val="32"/>
          <w:highlight w:val="none"/>
          <w:lang w:val="en-US" w:eastAsia="zh-CN"/>
        </w:rPr>
        <w:t>全区村庄形态完整的行政村基本实现乡村治理积分制全覆盖</w:t>
      </w:r>
      <w:r>
        <w:rPr>
          <w:rFonts w:hint="eastAsia" w:hAnsi="仿宋_GB2312" w:cs="仿宋_GB2312"/>
          <w:color w:val="auto"/>
          <w:spacing w:val="0"/>
          <w:sz w:val="32"/>
          <w:szCs w:val="32"/>
          <w:highlight w:val="none"/>
          <w:lang w:val="en-US" w:eastAsia="zh-CN"/>
        </w:rPr>
        <w:t>。</w:t>
      </w:r>
      <w:r>
        <w:rPr>
          <w:rFonts w:hint="eastAsia" w:hAnsi="仿宋_GB2312" w:cs="仿宋_GB2312"/>
          <w:color w:val="auto"/>
          <w:highlight w:val="none"/>
        </w:rPr>
        <w:t>形成“叶脉工程”“向心工程”等一批创新经验。</w:t>
      </w:r>
      <w:r>
        <w:rPr>
          <w:rFonts w:hint="eastAsia" w:hAnsi="仿宋_GB2312" w:cs="仿宋_GB2312"/>
          <w:color w:val="auto"/>
          <w:highlight w:val="none"/>
          <w:lang w:eastAsia="zh-CN"/>
        </w:rPr>
        <w:t>巩固拓展“五美”社区建设，推广“清单制”、数字化、接诉即办等务实管用方式，实现重点领域治理应用场景创新</w:t>
      </w:r>
      <w:r>
        <w:rPr>
          <w:rFonts w:hint="eastAsia" w:hAnsi="仿宋_GB2312" w:cs="仿宋_GB2312"/>
          <w:color w:val="auto"/>
          <w:highlight w:val="none"/>
        </w:rPr>
        <w:t>。</w:t>
      </w:r>
      <w:r>
        <w:rPr>
          <w:rFonts w:hint="eastAsia" w:hAnsi="仿宋_GB2312" w:cs="仿宋_GB2312"/>
          <w:color w:val="auto"/>
          <w:highlight w:val="none"/>
          <w:lang w:eastAsia="zh-CN"/>
        </w:rPr>
        <w:t>推进基层减负增能，完善部门事务下沉乡镇、居村组织事务准入审核等长效机制，居村基层治理骨干常态化培训等机制更加健全。</w:t>
      </w:r>
    </w:p>
    <w:p w14:paraId="3F7B475C">
      <w:pPr>
        <w:pStyle w:val="16"/>
        <w:keepNext w:val="0"/>
        <w:keepLines w:val="0"/>
        <w:pageBreakBefore w:val="0"/>
        <w:kinsoku/>
        <w:wordWrap/>
        <w:overflowPunct/>
        <w:topLinePunct w:val="0"/>
        <w:autoSpaceDE/>
        <w:autoSpaceDN/>
        <w:bidi w:val="0"/>
        <w:adjustRightInd w:val="0"/>
        <w:snapToGrid w:val="0"/>
        <w:spacing w:line="560" w:lineRule="exact"/>
        <w:ind w:right="0"/>
        <w:jc w:val="both"/>
        <w:textAlignment w:val="auto"/>
        <w:rPr>
          <w:rFonts w:hint="default"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（二）存在问题</w:t>
      </w:r>
    </w:p>
    <w:p w14:paraId="30B043D2">
      <w:pPr>
        <w:pStyle w:val="16"/>
        <w:keepNext w:val="0"/>
        <w:keepLines w:val="0"/>
        <w:pageBreakBefore w:val="0"/>
        <w:kinsoku/>
        <w:wordWrap/>
        <w:overflowPunct/>
        <w:topLinePunct w:val="0"/>
        <w:autoSpaceDE/>
        <w:autoSpaceDN/>
        <w:bidi w:val="0"/>
        <w:adjustRightInd w:val="0"/>
        <w:snapToGrid w:val="0"/>
        <w:spacing w:line="560" w:lineRule="exact"/>
        <w:ind w:right="0" w:firstLine="643" w:firstLineChars="200"/>
        <w:jc w:val="both"/>
        <w:textAlignment w:val="auto"/>
        <w:rPr>
          <w:rFonts w:hint="eastAsia" w:hAnsi="仿宋_GB2312" w:cs="仿宋_GB2312"/>
          <w:color w:val="auto"/>
          <w:sz w:val="32"/>
          <w:szCs w:val="32"/>
          <w:highlight w:val="none"/>
          <w:lang w:val="en-US" w:eastAsia="zh-CN"/>
        </w:rPr>
      </w:pPr>
      <w:r>
        <w:rPr>
          <w:rFonts w:hint="eastAsia" w:hAnsi="仿宋_GB2312" w:cs="仿宋_GB2312"/>
          <w:b/>
          <w:bCs/>
          <w:color w:val="auto"/>
          <w:highlight w:val="none"/>
          <w:lang w:val="en-US" w:eastAsia="zh-CN"/>
        </w:rPr>
        <w:t>一是农业高质量发展任务艰巨。</w:t>
      </w:r>
      <w:r>
        <w:rPr>
          <w:rFonts w:hint="eastAsia" w:hAnsi="仿宋_GB2312" w:cs="仿宋_GB2312"/>
          <w:b w:val="0"/>
          <w:bCs w:val="0"/>
          <w:color w:val="auto"/>
          <w:highlight w:val="none"/>
          <w:lang w:val="en-US" w:eastAsia="zh-CN"/>
        </w:rPr>
        <w:t>现有农业科技创新水平与都市现代农业定位不相匹配，面对新一轮科技革命和产业变革，</w:t>
      </w:r>
      <w:r>
        <w:rPr>
          <w:rFonts w:hint="eastAsia" w:hAnsi="仿宋_GB2312" w:cs="仿宋_GB2312"/>
          <w:color w:val="auto"/>
          <w:highlight w:val="none"/>
          <w:lang w:val="en-US" w:eastAsia="zh-CN"/>
        </w:rPr>
        <w:t>农业科技新赛道布局力度还不够，</w:t>
      </w:r>
      <w:r>
        <w:rPr>
          <w:rFonts w:hint="eastAsia" w:hAnsi="仿宋_GB2312" w:cs="仿宋_GB2312"/>
          <w:b w:val="0"/>
          <w:bCs w:val="0"/>
          <w:color w:val="auto"/>
          <w:highlight w:val="none"/>
          <w:lang w:val="en-US" w:eastAsia="zh-CN"/>
        </w:rPr>
        <w:t>长三角农业硅谷的功能定位需进一步明确。生态优势向经济优势转化不够充分，</w:t>
      </w:r>
      <w:r>
        <w:rPr>
          <w:rFonts w:hint="eastAsia" w:hAnsi="仿宋_GB2312" w:cs="仿宋_GB2312"/>
          <w:color w:val="auto"/>
          <w:highlight w:val="none"/>
          <w:lang w:val="en-US" w:eastAsia="zh-CN"/>
        </w:rPr>
        <w:t>农产品生态价值的实现路径亟待进一步探索、健全。</w:t>
      </w:r>
      <w:r>
        <w:rPr>
          <w:rFonts w:hint="eastAsia" w:hAnsi="仿宋_GB2312" w:cs="仿宋_GB2312"/>
          <w:color w:val="auto"/>
          <w:sz w:val="32"/>
          <w:szCs w:val="32"/>
          <w:highlight w:val="none"/>
          <w:lang w:val="en-US" w:eastAsia="zh-CN"/>
        </w:rPr>
        <w:t>以市场为导向、企业为主体、产学研结合、育繁推一体的现代种业体系尚未健全，成果转化率有待提高。</w:t>
      </w:r>
    </w:p>
    <w:p w14:paraId="13B4EFAA">
      <w:pPr>
        <w:pStyle w:val="16"/>
        <w:keepNext w:val="0"/>
        <w:keepLines w:val="0"/>
        <w:pageBreakBefore w:val="0"/>
        <w:kinsoku/>
        <w:wordWrap/>
        <w:overflowPunct/>
        <w:topLinePunct w:val="0"/>
        <w:autoSpaceDE/>
        <w:autoSpaceDN/>
        <w:bidi w:val="0"/>
        <w:adjustRightInd w:val="0"/>
        <w:snapToGrid w:val="0"/>
        <w:spacing w:line="560" w:lineRule="exact"/>
        <w:ind w:right="0" w:firstLine="643" w:firstLineChars="200"/>
        <w:jc w:val="both"/>
        <w:textAlignment w:val="auto"/>
        <w:rPr>
          <w:rFonts w:hint="eastAsia" w:hAnsi="仿宋_GB2312" w:cs="仿宋_GB2312"/>
          <w:b/>
          <w:bCs/>
          <w:color w:val="auto"/>
          <w:highlight w:val="none"/>
          <w:lang w:val="en-US" w:eastAsia="zh-CN"/>
        </w:rPr>
      </w:pPr>
      <w:r>
        <w:rPr>
          <w:rFonts w:hint="eastAsia" w:hAnsi="仿宋_GB2312" w:cs="仿宋_GB2312"/>
          <w:b/>
          <w:bCs/>
          <w:color w:val="auto"/>
          <w:highlight w:val="none"/>
          <w:lang w:val="en-US" w:eastAsia="zh-CN"/>
        </w:rPr>
        <w:t>二是乡村产业发展体系亟待完善。</w:t>
      </w:r>
      <w:r>
        <w:rPr>
          <w:rFonts w:hint="eastAsia" w:hAnsi="仿宋_GB2312" w:cs="仿宋_GB2312"/>
          <w:color w:val="auto"/>
          <w:highlight w:val="none"/>
          <w:lang w:val="en-US" w:eastAsia="zh-CN"/>
        </w:rPr>
        <w:t>现代农业产业链有待进一步延伸，农业“接二连三进四”和农业多功能发展态势还不足。</w:t>
      </w:r>
      <w:r>
        <w:rPr>
          <w:rFonts w:hint="eastAsia" w:hAnsi="仿宋_GB2312" w:cs="仿宋_GB2312"/>
          <w:b w:val="0"/>
          <w:bCs w:val="0"/>
          <w:color w:val="auto"/>
          <w:highlight w:val="none"/>
          <w:lang w:val="en-US" w:eastAsia="zh-CN"/>
        </w:rPr>
        <w:t>乡村产业发展融合度不高，</w:t>
      </w:r>
      <w:r>
        <w:rPr>
          <w:rFonts w:hint="eastAsia" w:hAnsi="仿宋_GB2312" w:cs="仿宋_GB2312"/>
          <w:color w:val="auto"/>
          <w:highlight w:val="none"/>
          <w:lang w:val="en-US" w:eastAsia="zh-CN"/>
        </w:rPr>
        <w:t>“旅游+”“生态+”“文化+”等业态发展尚未形成深度融合、领域细分、错位竞争的良好态势，整村运营开发力度不够，崇明生态自然景观缺乏深度挖掘和创意转化。市、区产业政策、规划、资源整合利用等方面的关联度和耦合度不够，叠加长江隧桥逢节必堵的交通现状，崇明市场吸引力和竞争力不足。</w:t>
      </w:r>
    </w:p>
    <w:p w14:paraId="18344265">
      <w:pPr>
        <w:pStyle w:val="16"/>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hAnsi="仿宋_GB2312" w:cs="仿宋_GB2312"/>
          <w:color w:val="auto"/>
          <w:highlight w:val="none"/>
          <w:lang w:val="en-US" w:eastAsia="zh-CN"/>
        </w:rPr>
      </w:pPr>
      <w:r>
        <w:rPr>
          <w:rFonts w:hint="eastAsia" w:hAnsi="仿宋_GB2312" w:cs="仿宋_GB2312"/>
          <w:b/>
          <w:bCs/>
          <w:color w:val="auto"/>
          <w:highlight w:val="none"/>
          <w:lang w:val="en-US" w:eastAsia="zh-CN"/>
        </w:rPr>
        <w:t>三是农民多渠道增收面临挑战。</w:t>
      </w:r>
      <w:r>
        <w:rPr>
          <w:rFonts w:hint="eastAsia" w:hAnsi="仿宋_GB2312" w:cs="仿宋_GB2312"/>
          <w:b w:val="0"/>
          <w:bCs w:val="0"/>
          <w:color w:val="auto"/>
          <w:highlight w:val="none"/>
          <w:lang w:val="en-US" w:eastAsia="zh-CN"/>
        </w:rPr>
        <w:t>农村集体经济发展内生动力不足，</w:t>
      </w:r>
      <w:r>
        <w:rPr>
          <w:rFonts w:hint="eastAsia" w:hAnsi="仿宋_GB2312" w:cs="仿宋_GB2312"/>
          <w:color w:val="auto"/>
          <w:highlight w:val="none"/>
          <w:lang w:val="en-US" w:eastAsia="zh-CN"/>
        </w:rPr>
        <w:t>村级经济发展呈现不</w:t>
      </w:r>
      <w:r>
        <w:rPr>
          <w:rFonts w:hint="eastAsia" w:hAnsi="仿宋_GB2312" w:cs="仿宋_GB2312"/>
          <w:b w:val="0"/>
          <w:bCs w:val="0"/>
          <w:color w:val="auto"/>
          <w:highlight w:val="none"/>
          <w:lang w:val="en-US" w:eastAsia="zh-CN"/>
        </w:rPr>
        <w:t>平衡态势，多数村集体缺乏可持续盈利的主导产业，自我造血能力薄弱，</w:t>
      </w:r>
      <w:r>
        <w:rPr>
          <w:rFonts w:hint="eastAsia" w:hAnsi="仿宋_GB2312" w:cs="仿宋_GB2312"/>
          <w:color w:val="auto"/>
          <w:highlight w:val="none"/>
          <w:lang w:val="en-US" w:eastAsia="zh-CN"/>
        </w:rPr>
        <w:t>集体资产运营效率偏低，集体收益分红少，农村土地、产权改革红利有待进一步释放。同时，农村居民收入结构单一化问题突出，收入来源以工资性收入和转移性收入为主，经营性收入、财产性收入占比不高，受限于就业岗位质量、产业选择空间、闲置资源盘活能力等多种因素，农民增收渠道还需进一步拓展丰富。</w:t>
      </w:r>
    </w:p>
    <w:p w14:paraId="4289FE38">
      <w:pPr>
        <w:pStyle w:val="16"/>
        <w:keepNext w:val="0"/>
        <w:keepLines w:val="0"/>
        <w:pageBreakBefore w:val="0"/>
        <w:kinsoku/>
        <w:wordWrap/>
        <w:overflowPunct/>
        <w:topLinePunct w:val="0"/>
        <w:autoSpaceDE/>
        <w:autoSpaceDN/>
        <w:bidi w:val="0"/>
        <w:adjustRightInd w:val="0"/>
        <w:snapToGrid w:val="0"/>
        <w:spacing w:line="560" w:lineRule="exact"/>
        <w:ind w:right="0" w:firstLine="643" w:firstLineChars="200"/>
        <w:jc w:val="both"/>
        <w:textAlignment w:val="auto"/>
        <w:rPr>
          <w:rFonts w:hint="default" w:ascii="方正小标宋简体" w:hAnsi="方正小标宋简体" w:eastAsia="方正小标宋简体" w:cs="方正小标宋简体"/>
          <w:b w:val="0"/>
          <w:bCs/>
          <w:color w:val="auto"/>
          <w:spacing w:val="0"/>
          <w:kern w:val="2"/>
          <w:sz w:val="24"/>
          <w:szCs w:val="24"/>
          <w:highlight w:val="none"/>
          <w:lang w:val="en-US" w:eastAsia="zh-CN" w:bidi="ar-SA"/>
        </w:rPr>
      </w:pPr>
      <w:r>
        <w:rPr>
          <w:rFonts w:hint="eastAsia" w:hAnsi="仿宋_GB2312" w:cs="仿宋_GB2312"/>
          <w:b/>
          <w:bCs/>
          <w:color w:val="auto"/>
          <w:highlight w:val="none"/>
          <w:lang w:val="en-US" w:eastAsia="zh-CN"/>
        </w:rPr>
        <w:t>四是资源要素流入存在阻碍。</w:t>
      </w:r>
      <w:r>
        <w:rPr>
          <w:rFonts w:hint="eastAsia" w:hAnsi="仿宋_GB2312" w:cs="仿宋_GB2312"/>
          <w:color w:val="auto"/>
          <w:highlight w:val="none"/>
          <w:lang w:val="en-US" w:eastAsia="zh-CN"/>
        </w:rPr>
        <w:t>现代农业配套用地无法满足产业发展需求，农业发展空间不断受到挤压。受地理位置、工资待遇、通勤成本、落户政策等因素限制，优秀人才引进难、留住难等问题仍然比较突出。农业产业、生态产业、城乡规划、环境保护等领域专业人才紧缺，现有人才政策对优秀人才、高端人才的吸引力仍然不够。</w:t>
      </w:r>
      <w:r>
        <w:rPr>
          <w:rFonts w:hint="default" w:hAnsi="仿宋_GB2312" w:cs="仿宋_GB2312"/>
          <w:color w:val="auto"/>
          <w:highlight w:val="none"/>
          <w:lang w:val="en-US" w:eastAsia="zh-CN"/>
        </w:rPr>
        <w:t>金融机构对农村地区的风险评估较高，信贷产品与服务难以满足农村产业发展需求。社会资本对农村产业的投资积极性不高，资金流入农村的渠道有限。</w:t>
      </w:r>
    </w:p>
    <w:p w14:paraId="0408955C">
      <w:pPr>
        <w:keepNext w:val="0"/>
        <w:keepLines w:val="0"/>
        <w:pageBreakBefore w:val="0"/>
        <w:widowControl w:val="0"/>
        <w:numPr>
          <w:ilvl w:val="0"/>
          <w:numId w:val="0"/>
        </w:numPr>
        <w:shd w:val="clear" w:color="auto" w:fill="auto"/>
        <w:kinsoku/>
        <w:wordWrap/>
        <w:overflowPunct/>
        <w:topLinePunct w:val="0"/>
        <w:autoSpaceDE/>
        <w:autoSpaceDN/>
        <w:bidi w:val="0"/>
        <w:spacing w:beforeAutospacing="0" w:afterAutospacing="0" w:line="560" w:lineRule="exact"/>
        <w:ind w:right="0" w:firstLine="640" w:firstLineChars="200"/>
        <w:jc w:val="both"/>
        <w:textAlignment w:val="auto"/>
        <w:outlineLvl w:val="0"/>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二、“十五五”发展环境</w:t>
      </w:r>
    </w:p>
    <w:p w14:paraId="1D8F17B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世界百年变局正加速演进，叠加国际地缘冲突持续加剧对全球粮食供应链、农业生产资料流通及农民生计的连锁冲击，国际环境不确定性显著增强。我国迈入全面建设社会主义现代化国家新征程，乡村振兴战略作为应对风险挑战的“战略后院”，在全面建设社会主义现代化国家全局中的战略基点作用愈发凸显。上海作为我国改革开放的前沿阵地，立足超大城市乡村价值重构，加快培育新赛道和未来产业，上海乡村持续发挥保障供给功能、生态涵养功能、生活居住功能和文化传承功能。崇明肩负建设世界级生态岛的核心使命，将紧随上海步伐，奋力开创城乡深度融合、乡村全面振兴、农业农村高质量发展的新局面。</w:t>
      </w:r>
    </w:p>
    <w:p w14:paraId="42D7537B">
      <w:pPr>
        <w:pStyle w:val="16"/>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（一）把握城乡融合发展新机遇</w:t>
      </w:r>
    </w:p>
    <w:p w14:paraId="21C29BC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1.上海远郊功能定位升级</w:t>
      </w:r>
    </w:p>
    <w:p w14:paraId="440560F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作为上海最为珍贵、不可替代、面向未来的生态战略空间，崇明的远郊功能定位正从传统的“城市后勤保障基地”向“生态功能核心区、城乡融合示范区”转变。过去，崇明更多承担农产品供给、生态屏障等基础功能，而随着长三角一体化发展战略与上海“五个中心”建设深入推进，城乡融合发展成为重要趋势。作为城乡融合发展的前沿阵地，崇明将成为上海疏解主城区部分非核心功能的重要空间。作为乡村振兴战略的实践样本，崇明在生态价值转化、城乡要素双向流动等领域的探索，将为上海远郊发展提供示范经验。</w:t>
      </w:r>
    </w:p>
    <w:p w14:paraId="13621F6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2.交通基础设施互联互通</w:t>
      </w:r>
    </w:p>
    <w:p w14:paraId="68FF393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崇明作为上海远郊区域，其空间格局正从传统的独立发展模式向与上海主城区功能互补的方向转变。沪渝蓉高速铁路登岛及轨道交通崇明线建设</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持续推进，</w:t>
      </w:r>
      <w:r>
        <w:rPr>
          <w:rFonts w:hint="eastAsia" w:ascii="仿宋_GB2312" w:hAnsi="仿宋_GB2312" w:eastAsia="仿宋_GB2312" w:cs="仿宋_GB2312"/>
          <w:color w:val="auto"/>
          <w:sz w:val="32"/>
          <w:szCs w:val="32"/>
          <w:highlight w:val="none"/>
          <w:lang w:val="en-US" w:eastAsia="zh-CN"/>
        </w:rPr>
        <w:t>将</w:t>
      </w:r>
      <w:r>
        <w:rPr>
          <w:rFonts w:hint="default" w:ascii="仿宋_GB2312" w:hAnsi="仿宋_GB2312" w:eastAsia="仿宋_GB2312" w:cs="仿宋_GB2312"/>
          <w:color w:val="auto"/>
          <w:sz w:val="32"/>
          <w:szCs w:val="32"/>
          <w:highlight w:val="none"/>
          <w:lang w:val="en-US" w:eastAsia="zh-CN"/>
        </w:rPr>
        <w:t>使崇明的交通区位发生根本</w:t>
      </w:r>
      <w:r>
        <w:rPr>
          <w:rFonts w:hint="eastAsia" w:ascii="仿宋_GB2312" w:hAnsi="仿宋_GB2312" w:eastAsia="仿宋_GB2312" w:cs="仿宋_GB2312"/>
          <w:color w:val="auto"/>
          <w:sz w:val="32"/>
          <w:szCs w:val="32"/>
          <w:highlight w:val="none"/>
          <w:lang w:val="en-US" w:eastAsia="zh-CN"/>
        </w:rPr>
        <w:t>性转变</w:t>
      </w:r>
      <w:r>
        <w:rPr>
          <w:rFonts w:hint="default" w:ascii="仿宋_GB2312" w:hAnsi="仿宋_GB2312" w:eastAsia="仿宋_GB2312" w:cs="仿宋_GB2312"/>
          <w:color w:val="auto"/>
          <w:sz w:val="32"/>
          <w:szCs w:val="32"/>
          <w:highlight w:val="none"/>
          <w:lang w:val="en-US" w:eastAsia="zh-CN"/>
        </w:rPr>
        <w:t>，缩短</w:t>
      </w:r>
      <w:r>
        <w:rPr>
          <w:rFonts w:hint="eastAsia" w:ascii="仿宋_GB2312" w:hAnsi="仿宋_GB2312" w:eastAsia="仿宋_GB2312" w:cs="仿宋_GB2312"/>
          <w:color w:val="auto"/>
          <w:sz w:val="32"/>
          <w:szCs w:val="32"/>
          <w:highlight w:val="none"/>
          <w:lang w:val="en-US" w:eastAsia="zh-CN"/>
        </w:rPr>
        <w:t>远郊</w:t>
      </w:r>
      <w:r>
        <w:rPr>
          <w:rFonts w:hint="default" w:ascii="仿宋_GB2312" w:hAnsi="仿宋_GB2312" w:eastAsia="仿宋_GB2312" w:cs="仿宋_GB2312"/>
          <w:color w:val="auto"/>
          <w:sz w:val="32"/>
          <w:szCs w:val="32"/>
          <w:highlight w:val="none"/>
          <w:lang w:val="en-US" w:eastAsia="zh-CN"/>
        </w:rPr>
        <w:t>与上海</w:t>
      </w:r>
      <w:r>
        <w:rPr>
          <w:rFonts w:hint="eastAsia" w:ascii="仿宋_GB2312" w:hAnsi="仿宋_GB2312" w:eastAsia="仿宋_GB2312" w:cs="仿宋_GB2312"/>
          <w:color w:val="auto"/>
          <w:sz w:val="32"/>
          <w:szCs w:val="32"/>
          <w:highlight w:val="none"/>
          <w:lang w:val="en-US" w:eastAsia="zh-CN"/>
        </w:rPr>
        <w:t>主</w:t>
      </w:r>
      <w:r>
        <w:rPr>
          <w:rFonts w:hint="default" w:ascii="仿宋_GB2312" w:hAnsi="仿宋_GB2312" w:eastAsia="仿宋_GB2312" w:cs="仿宋_GB2312"/>
          <w:color w:val="auto"/>
          <w:sz w:val="32"/>
          <w:szCs w:val="32"/>
          <w:highlight w:val="none"/>
          <w:lang w:val="en-US" w:eastAsia="zh-CN"/>
        </w:rPr>
        <w:t>城区</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时空距离，</w:t>
      </w:r>
      <w:r>
        <w:rPr>
          <w:rFonts w:hint="eastAsia" w:ascii="仿宋_GB2312" w:hAnsi="仿宋_GB2312" w:eastAsia="仿宋_GB2312" w:cs="仿宋_GB2312"/>
          <w:color w:val="auto"/>
          <w:sz w:val="32"/>
          <w:szCs w:val="32"/>
          <w:highlight w:val="none"/>
          <w:lang w:val="en-US" w:eastAsia="zh-CN"/>
        </w:rPr>
        <w:t>实现岛内交通与</w:t>
      </w:r>
      <w:r>
        <w:rPr>
          <w:rFonts w:hint="default" w:ascii="仿宋_GB2312" w:hAnsi="仿宋_GB2312" w:eastAsia="仿宋_GB2312" w:cs="仿宋_GB2312"/>
          <w:color w:val="auto"/>
          <w:sz w:val="32"/>
          <w:szCs w:val="32"/>
          <w:highlight w:val="none"/>
          <w:lang w:val="en-US" w:eastAsia="zh-CN"/>
        </w:rPr>
        <w:t>全国高铁</w:t>
      </w:r>
      <w:r>
        <w:rPr>
          <w:rFonts w:hint="eastAsia" w:ascii="仿宋_GB2312" w:hAnsi="仿宋_GB2312" w:eastAsia="仿宋_GB2312" w:cs="仿宋_GB2312"/>
          <w:color w:val="auto"/>
          <w:sz w:val="32"/>
          <w:szCs w:val="32"/>
          <w:highlight w:val="none"/>
          <w:lang w:val="en-US" w:eastAsia="zh-CN"/>
        </w:rPr>
        <w:t>网络的深度衔接，强化崇明与长三角城市群的紧密联系</w:t>
      </w:r>
      <w:r>
        <w:rPr>
          <w:rFonts w:hint="default" w:ascii="仿宋_GB2312" w:hAnsi="仿宋_GB2312" w:eastAsia="仿宋_GB2312" w:cs="仿宋_GB2312"/>
          <w:color w:val="auto"/>
          <w:sz w:val="32"/>
          <w:szCs w:val="32"/>
          <w:highlight w:val="none"/>
          <w:lang w:val="en-US" w:eastAsia="zh-CN"/>
        </w:rPr>
        <w:t>。交通</w:t>
      </w:r>
      <w:r>
        <w:rPr>
          <w:rFonts w:hint="eastAsia" w:ascii="仿宋_GB2312" w:hAnsi="仿宋_GB2312" w:eastAsia="仿宋_GB2312" w:cs="仿宋_GB2312"/>
          <w:color w:val="auto"/>
          <w:sz w:val="32"/>
          <w:szCs w:val="32"/>
          <w:highlight w:val="none"/>
          <w:lang w:val="en-US" w:eastAsia="zh-CN"/>
        </w:rPr>
        <w:t>设施的</w:t>
      </w:r>
      <w:r>
        <w:rPr>
          <w:rFonts w:hint="default" w:ascii="仿宋_GB2312" w:hAnsi="仿宋_GB2312" w:eastAsia="仿宋_GB2312" w:cs="仿宋_GB2312"/>
          <w:color w:val="auto"/>
          <w:sz w:val="32"/>
          <w:szCs w:val="32"/>
          <w:highlight w:val="none"/>
          <w:lang w:val="en-US" w:eastAsia="zh-CN"/>
        </w:rPr>
        <w:t>改善</w:t>
      </w:r>
      <w:r>
        <w:rPr>
          <w:rFonts w:hint="eastAsia" w:ascii="仿宋_GB2312" w:hAnsi="仿宋_GB2312" w:eastAsia="仿宋_GB2312" w:cs="仿宋_GB2312"/>
          <w:color w:val="auto"/>
          <w:sz w:val="32"/>
          <w:szCs w:val="32"/>
          <w:highlight w:val="none"/>
          <w:lang w:val="en-US" w:eastAsia="zh-CN"/>
        </w:rPr>
        <w:t>升级将</w:t>
      </w:r>
      <w:r>
        <w:rPr>
          <w:rFonts w:hint="default" w:ascii="仿宋_GB2312" w:hAnsi="仿宋_GB2312" w:eastAsia="仿宋_GB2312" w:cs="仿宋_GB2312"/>
          <w:color w:val="auto"/>
          <w:sz w:val="32"/>
          <w:szCs w:val="32"/>
          <w:highlight w:val="none"/>
          <w:lang w:val="en-US" w:eastAsia="zh-CN"/>
        </w:rPr>
        <w:t>促</w:t>
      </w:r>
      <w:r>
        <w:rPr>
          <w:rFonts w:hint="eastAsia" w:ascii="仿宋_GB2312" w:hAnsi="仿宋_GB2312" w:eastAsia="仿宋_GB2312" w:cs="仿宋_GB2312"/>
          <w:color w:val="auto"/>
          <w:sz w:val="32"/>
          <w:szCs w:val="32"/>
          <w:highlight w:val="none"/>
          <w:lang w:val="en-US" w:eastAsia="zh-CN"/>
        </w:rPr>
        <w:t>进</w:t>
      </w:r>
      <w:r>
        <w:rPr>
          <w:rFonts w:hint="default" w:ascii="仿宋_GB2312" w:hAnsi="仿宋_GB2312" w:eastAsia="仿宋_GB2312" w:cs="仿宋_GB2312"/>
          <w:color w:val="auto"/>
          <w:sz w:val="32"/>
          <w:szCs w:val="32"/>
          <w:highlight w:val="none"/>
          <w:lang w:val="en-US" w:eastAsia="zh-CN"/>
        </w:rPr>
        <w:t>信息流、人才流、资源流、物资流加速汇聚，为</w:t>
      </w:r>
      <w:r>
        <w:rPr>
          <w:rFonts w:hint="eastAsia" w:ascii="仿宋_GB2312" w:hAnsi="仿宋_GB2312" w:eastAsia="仿宋_GB2312" w:cs="仿宋_GB2312"/>
          <w:color w:val="auto"/>
          <w:sz w:val="32"/>
          <w:szCs w:val="32"/>
          <w:highlight w:val="none"/>
          <w:lang w:val="en-US" w:eastAsia="zh-CN"/>
        </w:rPr>
        <w:t>承接城市多元功能疏解和溢出效应</w:t>
      </w:r>
      <w:r>
        <w:rPr>
          <w:rFonts w:hint="default" w:ascii="仿宋_GB2312" w:hAnsi="仿宋_GB2312" w:eastAsia="仿宋_GB2312" w:cs="仿宋_GB2312"/>
          <w:color w:val="auto"/>
          <w:sz w:val="32"/>
          <w:szCs w:val="32"/>
          <w:highlight w:val="none"/>
          <w:lang w:val="en-US" w:eastAsia="zh-CN"/>
        </w:rPr>
        <w:t>提供基础支撑</w:t>
      </w:r>
      <w:r>
        <w:rPr>
          <w:rFonts w:hint="eastAsia" w:ascii="仿宋_GB2312" w:hAnsi="仿宋_GB2312" w:eastAsia="仿宋_GB2312" w:cs="仿宋_GB2312"/>
          <w:color w:val="auto"/>
          <w:sz w:val="32"/>
          <w:szCs w:val="32"/>
          <w:highlight w:val="none"/>
          <w:lang w:val="en-US" w:eastAsia="zh-CN"/>
        </w:rPr>
        <w:t>，为生态旅游、绿色金融、低碳产业等新赛道开辟增量空间。</w:t>
      </w:r>
    </w:p>
    <w:p w14:paraId="3098553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3.城乡资源要素双向流动</w:t>
      </w:r>
    </w:p>
    <w:p w14:paraId="4D4BE96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崇明依托乡村基础设施提档升级与生态价值持续释放，正吸引越来越多的城市人才、资本、技术向乡村渗透。近年来，崇明乡村民宿产业蓬勃发展，农业科技企业纷纷入驻。</w:t>
      </w:r>
      <w:r>
        <w:rPr>
          <w:rFonts w:hint="default" w:ascii="仿宋_GB2312" w:hAnsi="仿宋_GB2312" w:eastAsia="仿宋_GB2312" w:cs="仿宋_GB2312"/>
          <w:color w:val="auto"/>
          <w:sz w:val="32"/>
          <w:szCs w:val="32"/>
          <w:highlight w:val="none"/>
          <w:lang w:val="en-US" w:eastAsia="zh-CN"/>
        </w:rPr>
        <w:t>随着国家乡村振兴战略深化与上海“五个中心”建设推进，崇明作为生态优先发展区域，有望获得更多专项政策支持，为吸引城市人才、资本下乡搭建广阔平台。</w:t>
      </w:r>
      <w:r>
        <w:rPr>
          <w:rFonts w:hint="eastAsia" w:ascii="仿宋_GB2312" w:hAnsi="仿宋_GB2312" w:eastAsia="仿宋_GB2312" w:cs="仿宋_GB2312"/>
          <w:color w:val="auto"/>
          <w:sz w:val="32"/>
          <w:szCs w:val="32"/>
          <w:highlight w:val="none"/>
          <w:lang w:val="en-US" w:eastAsia="zh-CN"/>
        </w:rPr>
        <w:t>同时，</w:t>
      </w:r>
      <w:r>
        <w:rPr>
          <w:rFonts w:hint="default" w:ascii="仿宋_GB2312" w:hAnsi="仿宋_GB2312" w:eastAsia="仿宋_GB2312" w:cs="仿宋_GB2312"/>
          <w:color w:val="auto"/>
          <w:sz w:val="32"/>
          <w:szCs w:val="32"/>
          <w:highlight w:val="none"/>
          <w:lang w:val="en-US" w:eastAsia="zh-CN"/>
        </w:rPr>
        <w:t>城市居民对高品质生态产品、沉浸式乡村体验的需求持续攀升，崇明的湿地景观、非遗文化、</w:t>
      </w:r>
      <w:r>
        <w:rPr>
          <w:rFonts w:hint="eastAsia" w:ascii="仿宋_GB2312" w:hAnsi="仿宋_GB2312" w:eastAsia="仿宋_GB2312" w:cs="仿宋_GB2312"/>
          <w:color w:val="auto"/>
          <w:sz w:val="32"/>
          <w:szCs w:val="32"/>
          <w:highlight w:val="none"/>
          <w:lang w:val="en-US" w:eastAsia="zh-CN"/>
        </w:rPr>
        <w:t>绿色</w:t>
      </w:r>
      <w:r>
        <w:rPr>
          <w:rFonts w:hint="default" w:ascii="仿宋_GB2312" w:hAnsi="仿宋_GB2312" w:eastAsia="仿宋_GB2312" w:cs="仿宋_GB2312"/>
          <w:color w:val="auto"/>
          <w:sz w:val="32"/>
          <w:szCs w:val="32"/>
          <w:highlight w:val="none"/>
          <w:lang w:val="en-US" w:eastAsia="zh-CN"/>
        </w:rPr>
        <w:t>农产品具备巨大市场潜力，</w:t>
      </w:r>
      <w:r>
        <w:rPr>
          <w:rFonts w:hint="eastAsia" w:ascii="仿宋_GB2312" w:hAnsi="仿宋_GB2312" w:eastAsia="仿宋_GB2312" w:cs="仿宋_GB2312"/>
          <w:color w:val="auto"/>
          <w:sz w:val="32"/>
          <w:szCs w:val="32"/>
          <w:highlight w:val="none"/>
          <w:lang w:val="en-US" w:eastAsia="zh-CN"/>
        </w:rPr>
        <w:t>将进一步以其独特的乡村生态价值与文化资源反哺城市需求，形成“城市赋能乡村、乡村服务城市”的良性循环。</w:t>
      </w:r>
    </w:p>
    <w:p w14:paraId="04A92739">
      <w:pPr>
        <w:pStyle w:val="16"/>
        <w:keepNext w:val="0"/>
        <w:keepLines w:val="0"/>
        <w:pageBreakBefore w:val="0"/>
        <w:kinsoku/>
        <w:wordWrap/>
        <w:overflowPunct/>
        <w:topLinePunct w:val="0"/>
        <w:autoSpaceDE/>
        <w:autoSpaceDN/>
        <w:bidi w:val="0"/>
        <w:adjustRightInd w:val="0"/>
        <w:snapToGrid w:val="0"/>
        <w:spacing w:line="560" w:lineRule="exact"/>
        <w:ind w:right="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（二）迈向乡村全面振兴新阶段</w:t>
      </w:r>
    </w:p>
    <w:p w14:paraId="7C06C49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1.乡村产业</w:t>
      </w:r>
      <w:r>
        <w:rPr>
          <w:rFonts w:hint="eastAsia" w:ascii="仿宋_GB2312" w:hAnsi="仿宋_GB2312" w:eastAsia="仿宋_GB2312" w:cs="仿宋_GB2312"/>
          <w:b/>
          <w:bCs/>
          <w:strike w:val="0"/>
          <w:dstrike w:val="0"/>
          <w:color w:val="auto"/>
          <w:sz w:val="32"/>
          <w:szCs w:val="32"/>
          <w:highlight w:val="none"/>
          <w:lang w:val="en-US" w:eastAsia="zh-CN"/>
        </w:rPr>
        <w:t>迎来</w:t>
      </w:r>
      <w:r>
        <w:rPr>
          <w:rFonts w:hint="eastAsia" w:ascii="仿宋_GB2312" w:hAnsi="仿宋_GB2312" w:eastAsia="仿宋_GB2312" w:cs="仿宋_GB2312"/>
          <w:b/>
          <w:bCs/>
          <w:color w:val="auto"/>
          <w:sz w:val="32"/>
          <w:szCs w:val="32"/>
          <w:highlight w:val="none"/>
          <w:lang w:val="en-US" w:eastAsia="zh-CN"/>
        </w:rPr>
        <w:t>全链条升级</w:t>
      </w:r>
    </w:p>
    <w:p w14:paraId="10E96D5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随着乡村振兴战略的深入实施，崇明乡村正从单一农业生产功能不断向多元价值拓展，乡村产业发展也迎来深刻变革。传统农业在科技赋能下，向智慧农业转型升级，实现了生产环节精准化管理、加工环节智能化运作、销售环节电商化运营的全产业链革新。在此基础上，“农业+”多元融合态势持续深化，与文化体验、休闲度假、康养运动等多元业态结合的创新尝试，为崇明进一步推动产业协同共进、融合发展提供契机，为构建“生产+加工+服务”的全链条价值体系注入新动能。</w:t>
      </w:r>
    </w:p>
    <w:p w14:paraId="155CFFF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2.乡村风貌</w:t>
      </w:r>
      <w:r>
        <w:rPr>
          <w:rFonts w:hint="eastAsia" w:ascii="仿宋_GB2312" w:hAnsi="仿宋_GB2312" w:eastAsia="仿宋_GB2312" w:cs="仿宋_GB2312"/>
          <w:b/>
          <w:bCs/>
          <w:strike w:val="0"/>
          <w:dstrike w:val="0"/>
          <w:color w:val="auto"/>
          <w:sz w:val="32"/>
          <w:szCs w:val="32"/>
          <w:highlight w:val="none"/>
          <w:lang w:val="en-US" w:eastAsia="zh-CN"/>
        </w:rPr>
        <w:t>迎来</w:t>
      </w:r>
      <w:r>
        <w:rPr>
          <w:rFonts w:hint="eastAsia" w:ascii="仿宋_GB2312" w:hAnsi="仿宋_GB2312" w:eastAsia="仿宋_GB2312" w:cs="仿宋_GB2312"/>
          <w:b/>
          <w:bCs/>
          <w:color w:val="auto"/>
          <w:sz w:val="32"/>
          <w:szCs w:val="32"/>
          <w:highlight w:val="none"/>
          <w:lang w:val="en-US" w:eastAsia="zh-CN"/>
        </w:rPr>
        <w:t>全方位提质</w:t>
      </w:r>
    </w:p>
    <w:p w14:paraId="4CFFE42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人与自然和谐共生”的时代命题下，乡村风貌提质已不能停留在“干净整洁”的基础层面，亟待从“整洁有序”向“生态宜居”跃升。随着“美丽家园”建设纵深推进，崇明乡村振兴示范村建设成效显著，积累了从“硬件改造”到“长效管护”的成熟经验，为乡村建设从“点上示范”逐步走向“由点及面”的全域推进筑牢根基。崇明生态湿地、乡土文脉等稀缺资源所蕴含的巨大潜力，为打造生态宜居的乡村环境提供支撑。</w:t>
      </w:r>
      <w:r>
        <w:rPr>
          <w:rFonts w:hint="eastAsia" w:ascii="仿宋_GB2312" w:hAnsi="仿宋_GB2312" w:eastAsia="仿宋_GB2312" w:cs="仿宋_GB2312"/>
          <w:strike w:val="0"/>
          <w:dstrike w:val="0"/>
          <w:color w:val="auto"/>
          <w:sz w:val="32"/>
          <w:szCs w:val="32"/>
          <w:highlight w:val="none"/>
          <w:lang w:val="en-US" w:eastAsia="zh-CN"/>
        </w:rPr>
        <w:t>宜居宜业</w:t>
      </w:r>
      <w:r>
        <w:rPr>
          <w:rFonts w:hint="eastAsia" w:ascii="仿宋_GB2312" w:hAnsi="仿宋_GB2312" w:eastAsia="仿宋_GB2312" w:cs="仿宋_GB2312"/>
          <w:color w:val="auto"/>
          <w:sz w:val="32"/>
          <w:szCs w:val="32"/>
          <w:highlight w:val="none"/>
          <w:lang w:val="en-US" w:eastAsia="zh-CN"/>
        </w:rPr>
        <w:t>和美乡村、“沪派江南”风貌试点项目建设，为构建“一村一韵”、各具特色的乡村风貌格局开辟路径。</w:t>
      </w:r>
    </w:p>
    <w:p w14:paraId="0464E13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3.乡村</w:t>
      </w:r>
      <w:r>
        <w:rPr>
          <w:rFonts w:hint="eastAsia" w:ascii="仿宋_GB2312" w:hAnsi="仿宋_GB2312" w:eastAsia="仿宋_GB2312" w:cs="仿宋_GB2312"/>
          <w:b/>
          <w:bCs/>
          <w:strike w:val="0"/>
          <w:dstrike w:val="0"/>
          <w:color w:val="auto"/>
          <w:sz w:val="32"/>
          <w:szCs w:val="32"/>
          <w:highlight w:val="none"/>
          <w:lang w:val="en-US" w:eastAsia="zh-CN"/>
        </w:rPr>
        <w:t>农民迎来</w:t>
      </w:r>
      <w:r>
        <w:rPr>
          <w:rFonts w:hint="eastAsia" w:ascii="仿宋_GB2312" w:hAnsi="仿宋_GB2312" w:eastAsia="仿宋_GB2312" w:cs="仿宋_GB2312"/>
          <w:b/>
          <w:bCs/>
          <w:color w:val="auto"/>
          <w:sz w:val="32"/>
          <w:szCs w:val="32"/>
          <w:highlight w:val="none"/>
          <w:lang w:val="en-US" w:eastAsia="zh-CN"/>
        </w:rPr>
        <w:t>全方面发展</w:t>
      </w:r>
    </w:p>
    <w:p w14:paraId="4516819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随着崇明乡村住房条件、基础设施、生活配套等物质水平大幅提升，乡村文化生活、医疗保障、社会治理持续完善，乡村振兴的重心也将逐步从单一改善农民生活水平，转向推动农民全方位发展。崇明丰富的历史文化资源，为乡村农民从文化的被动消费者转变为主动传承者创造条件。教育资源的逐步延伸，将乡村农民的发展内涵转向能力素养提升，为其突破知识壁垒、实现多元发展搭建平台。“村民议事会”“乡村共享家”等机制的完善，为村民深度参与乡村治理、实现自我价值创造空间。</w:t>
      </w:r>
    </w:p>
    <w:p w14:paraId="2B56DFF7">
      <w:pPr>
        <w:pStyle w:val="16"/>
        <w:keepNext w:val="0"/>
        <w:keepLines w:val="0"/>
        <w:pageBreakBefore w:val="0"/>
        <w:kinsoku/>
        <w:wordWrap/>
        <w:overflowPunct/>
        <w:topLinePunct w:val="0"/>
        <w:autoSpaceDE/>
        <w:autoSpaceDN/>
        <w:bidi w:val="0"/>
        <w:adjustRightInd w:val="0"/>
        <w:snapToGrid w:val="0"/>
        <w:spacing w:line="560" w:lineRule="exact"/>
        <w:ind w:right="0"/>
        <w:jc w:val="both"/>
        <w:textAlignment w:val="auto"/>
        <w:rPr>
          <w:rFonts w:hint="default"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（三）步入农业农村高质量发展新征程</w:t>
      </w:r>
    </w:p>
    <w:p w14:paraId="24A6787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1.新质生产力引领现代农业转型升级</w:t>
      </w:r>
    </w:p>
    <w:p w14:paraId="02787EB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随着以数字技术、生物技术为核心的新一轮科技革命和产业变革深入发展，互联网、物联网等信息技术加快向农业农村渗透，农业新业态、新模式不断涌现，农业生产方式、生产组织、生产要素发生深刻变革。</w:t>
      </w:r>
      <w:r>
        <w:rPr>
          <w:rFonts w:hint="eastAsia" w:ascii="仿宋_GB2312" w:hAnsi="仿宋_GB2312" w:eastAsia="仿宋_GB2312" w:cs="仿宋_GB2312"/>
          <w:strike w:val="0"/>
          <w:dstrike w:val="0"/>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val="en-US" w:eastAsia="zh-CN"/>
        </w:rPr>
        <w:t>农业强国</w:t>
      </w:r>
      <w:r>
        <w:rPr>
          <w:rFonts w:hint="eastAsia" w:ascii="仿宋_GB2312" w:hAnsi="仿宋_GB2312" w:eastAsia="仿宋_GB2312" w:cs="仿宋_GB2312"/>
          <w:strike w:val="0"/>
          <w:dstrike w:val="0"/>
          <w:color w:val="auto"/>
          <w:sz w:val="32"/>
          <w:szCs w:val="32"/>
          <w:highlight w:val="none"/>
          <w:lang w:val="en-US" w:eastAsia="zh-CN"/>
        </w:rPr>
        <w:t>建设背景下</w:t>
      </w:r>
      <w:r>
        <w:rPr>
          <w:rFonts w:hint="eastAsia" w:ascii="仿宋_GB2312" w:hAnsi="仿宋_GB2312" w:eastAsia="仿宋_GB2312" w:cs="仿宋_GB2312"/>
          <w:color w:val="auto"/>
          <w:sz w:val="32"/>
          <w:szCs w:val="32"/>
          <w:highlight w:val="none"/>
          <w:lang w:val="en-US" w:eastAsia="zh-CN"/>
        </w:rPr>
        <w:t>，崇明正将科技赋能作为破解农业发展瓶颈的核心抓手，聚焦种源农业、设施农业、生物农业等</w:t>
      </w:r>
      <w:r>
        <w:rPr>
          <w:rFonts w:hint="eastAsia" w:ascii="仿宋_GB2312" w:hAnsi="仿宋_GB2312" w:eastAsia="仿宋_GB2312" w:cs="仿宋_GB2312"/>
          <w:strike w:val="0"/>
          <w:dstrike w:val="0"/>
          <w:color w:val="auto"/>
          <w:sz w:val="32"/>
          <w:szCs w:val="32"/>
          <w:highlight w:val="none"/>
          <w:lang w:val="en-US" w:eastAsia="zh-CN"/>
        </w:rPr>
        <w:t>领域</w:t>
      </w:r>
      <w:r>
        <w:rPr>
          <w:rFonts w:hint="eastAsia" w:ascii="仿宋_GB2312" w:hAnsi="仿宋_GB2312" w:eastAsia="仿宋_GB2312" w:cs="仿宋_GB2312"/>
          <w:color w:val="auto"/>
          <w:sz w:val="32"/>
          <w:szCs w:val="32"/>
          <w:highlight w:val="none"/>
          <w:lang w:val="en-US" w:eastAsia="zh-CN"/>
        </w:rPr>
        <w:t>，以建设长三角农业硅谷为战略支点，打造“农业+科技”创新创业新高地，全力塑造农业新质生产力核心竞争优势。</w:t>
      </w:r>
    </w:p>
    <w:p w14:paraId="6112662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2.数字化转型激活农业农村内生动力</w:t>
      </w:r>
    </w:p>
    <w:p w14:paraId="1D5BBFF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崇明正加速构建全域覆盖的新型信息基础设施体系，5G基站密度持续攀升，千兆光纤网络实现乡村“最后一公里”全覆盖，物联网技术广泛应用于农业生产、生态监测等领域。依托数字平台，城乡间的信息鸿沟被逐步消弭，农产品电商平台助力崇明大米、清水蟹等特色农产品直供城市餐桌，“云端”技术打破空间壁垒，让乡村文旅资源通过直播、VR等形式触达城市客源。智慧交通、智慧医疗、远程教育等场景不断落地，使城乡居民共享均等化的公共服务。信息技术正成为农业农村高质量发展的“数字动脉”，加速推进农业农村数字化转型成为必然趋势。</w:t>
      </w:r>
    </w:p>
    <w:p w14:paraId="4867FFA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default" w:ascii="仿宋_GB2312" w:hAnsi="仿宋_GB2312" w:eastAsia="仿宋_GB2312" w:cs="仿宋_GB2312"/>
          <w:b/>
          <w:bCs/>
          <w:color w:val="auto"/>
          <w:sz w:val="32"/>
          <w:szCs w:val="32"/>
          <w:highlight w:val="none"/>
          <w:lang w:val="en-US" w:eastAsia="zh-CN"/>
        </w:rPr>
        <w:t>生态产品价值实现</w:t>
      </w:r>
      <w:r>
        <w:rPr>
          <w:rFonts w:hint="eastAsia" w:ascii="仿宋_GB2312" w:hAnsi="仿宋_GB2312" w:eastAsia="仿宋_GB2312" w:cs="仿宋_GB2312"/>
          <w:b/>
          <w:bCs/>
          <w:color w:val="auto"/>
          <w:sz w:val="32"/>
          <w:szCs w:val="32"/>
          <w:highlight w:val="none"/>
          <w:lang w:val="en-US" w:eastAsia="zh-CN"/>
        </w:rPr>
        <w:t>路径逐步拓宽</w:t>
      </w:r>
    </w:p>
    <w:p w14:paraId="7DBF0C9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崇明立足世界级生态岛碳中和示范区建设目标，正积极构建“天空地”一体化监测网络，大力推进渔光互补、陆上风电等清洁能源项目，基本构建GEP核算指标体系和生态产品价值核算技术方法体系。随着城</w:t>
      </w:r>
      <w:r>
        <w:rPr>
          <w:rFonts w:hint="default" w:ascii="仿宋_GB2312" w:hAnsi="仿宋_GB2312" w:eastAsia="仿宋_GB2312" w:cs="仿宋_GB2312"/>
          <w:color w:val="auto"/>
          <w:sz w:val="32"/>
          <w:szCs w:val="32"/>
          <w:highlight w:val="none"/>
          <w:lang w:val="en-US" w:eastAsia="zh-CN"/>
        </w:rPr>
        <w:t>市居民对生态产品的付费意愿持续</w:t>
      </w:r>
      <w:r>
        <w:rPr>
          <w:rFonts w:hint="eastAsia" w:ascii="仿宋_GB2312" w:hAnsi="仿宋_GB2312" w:eastAsia="仿宋_GB2312" w:cs="仿宋_GB2312"/>
          <w:color w:val="auto"/>
          <w:sz w:val="32"/>
          <w:szCs w:val="32"/>
          <w:highlight w:val="none"/>
          <w:lang w:val="en-US" w:eastAsia="zh-CN"/>
        </w:rPr>
        <w:t>提</w:t>
      </w:r>
      <w:r>
        <w:rPr>
          <w:rFonts w:hint="default" w:ascii="仿宋_GB2312" w:hAnsi="仿宋_GB2312" w:eastAsia="仿宋_GB2312" w:cs="仿宋_GB2312"/>
          <w:color w:val="auto"/>
          <w:sz w:val="32"/>
          <w:szCs w:val="32"/>
          <w:highlight w:val="none"/>
          <w:lang w:val="en-US" w:eastAsia="zh-CN"/>
        </w:rPr>
        <w:t>升，崇明特色农产品的“生态溢价”空间不断扩大，生态研学、湿地康养等业态的市场需求</w:t>
      </w:r>
      <w:r>
        <w:rPr>
          <w:rFonts w:hint="eastAsia" w:ascii="仿宋_GB2312" w:hAnsi="仿宋_GB2312" w:eastAsia="仿宋_GB2312" w:cs="仿宋_GB2312"/>
          <w:color w:val="auto"/>
          <w:sz w:val="32"/>
          <w:szCs w:val="32"/>
          <w:highlight w:val="none"/>
          <w:lang w:val="en-US" w:eastAsia="zh-CN"/>
        </w:rPr>
        <w:t>不断增长，为崇明进一步探索</w:t>
      </w:r>
      <w:r>
        <w:rPr>
          <w:rFonts w:hint="default" w:ascii="仿宋_GB2312" w:hAnsi="仿宋_GB2312" w:eastAsia="仿宋_GB2312" w:cs="仿宋_GB2312"/>
          <w:color w:val="auto"/>
          <w:sz w:val="32"/>
          <w:szCs w:val="32"/>
          <w:highlight w:val="none"/>
          <w:lang w:val="en-US" w:eastAsia="zh-CN"/>
        </w:rPr>
        <w:t>生态产品价值实现</w:t>
      </w:r>
      <w:r>
        <w:rPr>
          <w:rFonts w:hint="eastAsia" w:ascii="仿宋_GB2312" w:hAnsi="仿宋_GB2312" w:eastAsia="仿宋_GB2312" w:cs="仿宋_GB2312"/>
          <w:color w:val="auto"/>
          <w:sz w:val="32"/>
          <w:szCs w:val="32"/>
          <w:highlight w:val="none"/>
          <w:lang w:val="en-US" w:eastAsia="zh-CN"/>
        </w:rPr>
        <w:t>机制提供契机，为</w:t>
      </w:r>
      <w:r>
        <w:rPr>
          <w:rFonts w:hint="default" w:ascii="仿宋_GB2312" w:hAnsi="仿宋_GB2312" w:eastAsia="仿宋_GB2312" w:cs="仿宋_GB2312"/>
          <w:color w:val="auto"/>
          <w:sz w:val="32"/>
          <w:szCs w:val="32"/>
          <w:highlight w:val="none"/>
          <w:lang w:val="en-US" w:eastAsia="zh-CN"/>
        </w:rPr>
        <w:t>生态资源</w:t>
      </w:r>
      <w:r>
        <w:rPr>
          <w:rFonts w:hint="eastAsia" w:ascii="仿宋_GB2312" w:hAnsi="仿宋_GB2312" w:eastAsia="仿宋_GB2312" w:cs="仿宋_GB2312"/>
          <w:color w:val="auto"/>
          <w:sz w:val="32"/>
          <w:szCs w:val="32"/>
          <w:highlight w:val="none"/>
          <w:lang w:val="en-US" w:eastAsia="zh-CN"/>
        </w:rPr>
        <w:t>成为</w:t>
      </w:r>
      <w:r>
        <w:rPr>
          <w:rFonts w:hint="default" w:ascii="仿宋_GB2312" w:hAnsi="仿宋_GB2312" w:eastAsia="仿宋_GB2312" w:cs="仿宋_GB2312"/>
          <w:color w:val="auto"/>
          <w:sz w:val="32"/>
          <w:szCs w:val="32"/>
          <w:highlight w:val="none"/>
          <w:lang w:val="en-US" w:eastAsia="zh-CN"/>
        </w:rPr>
        <w:t>驱动农业农村高质量发展的“绿色资本</w:t>
      </w:r>
      <w:r>
        <w:rPr>
          <w:rFonts w:hint="eastAsia" w:ascii="仿宋_GB2312" w:hAnsi="仿宋_GB2312" w:eastAsia="仿宋_GB2312" w:cs="仿宋_GB2312"/>
          <w:color w:val="auto"/>
          <w:sz w:val="32"/>
          <w:szCs w:val="32"/>
          <w:highlight w:val="none"/>
          <w:lang w:val="en-US" w:eastAsia="zh-CN"/>
        </w:rPr>
        <w:t>”创造路径。</w:t>
      </w:r>
    </w:p>
    <w:p w14:paraId="7B6E4B8D">
      <w:pPr>
        <w:keepNext w:val="0"/>
        <w:keepLines w:val="0"/>
        <w:pageBreakBefore w:val="0"/>
        <w:widowControl w:val="0"/>
        <w:numPr>
          <w:ilvl w:val="0"/>
          <w:numId w:val="0"/>
        </w:numPr>
        <w:shd w:val="clear" w:color="auto" w:fill="auto"/>
        <w:kinsoku/>
        <w:wordWrap/>
        <w:overflowPunct/>
        <w:topLinePunct w:val="0"/>
        <w:autoSpaceDE/>
        <w:autoSpaceDN/>
        <w:bidi w:val="0"/>
        <w:spacing w:beforeAutospacing="0" w:afterAutospacing="0" w:line="560" w:lineRule="exact"/>
        <w:ind w:right="0" w:firstLine="640" w:firstLineChars="200"/>
        <w:jc w:val="both"/>
        <w:textAlignment w:val="auto"/>
        <w:outlineLvl w:val="0"/>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三、指导思想与发展目标</w:t>
      </w:r>
    </w:p>
    <w:p w14:paraId="741E254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（一）指导思想</w:t>
      </w:r>
    </w:p>
    <w:p w14:paraId="51B15A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0" w:firstLineChars="200"/>
        <w:jc w:val="both"/>
        <w:textAlignment w:val="auto"/>
        <w:outlineLvl w:val="9"/>
        <w:rPr>
          <w:rFonts w:hint="eastAsia" w:ascii="仿宋_GB2312" w:hAnsi="仿宋_GB2312" w:eastAsia="仿宋_GB2312" w:cs="仿宋_GB2312"/>
          <w:b w:val="0"/>
          <w:color w:val="auto"/>
          <w:w w:val="100"/>
          <w:sz w:val="32"/>
          <w:szCs w:val="32"/>
          <w:highlight w:val="none"/>
          <w:lang w:val="en-US" w:eastAsia="zh-CN"/>
        </w:rPr>
      </w:pPr>
      <w:r>
        <w:rPr>
          <w:rFonts w:hint="eastAsia" w:ascii="仿宋_GB2312" w:hAnsi="仿宋_GB2312" w:eastAsia="仿宋_GB2312" w:cs="仿宋_GB2312"/>
          <w:b w:val="0"/>
          <w:color w:val="auto"/>
          <w:w w:val="100"/>
          <w:sz w:val="32"/>
          <w:szCs w:val="32"/>
          <w:highlight w:val="none"/>
          <w:lang w:val="en-US" w:eastAsia="zh-CN"/>
        </w:rPr>
        <w:t>以习近平新时代中国特色社会主义思想为指导，全面贯彻落实党的二十大和二十届历次全会精神，坚持和加强党对“三农”工作的全面领导，完整、准确、全面贯彻新发展理念，坚持稳中求进工作总基调，学习运用“千万工程”经验，扎实推进乡村全面振兴。以世界级生态岛建设为战略引领，锚定“生态优先、绿色发展”主航道，把握“绿水青山就是金山银山”的内在逻辑，推动乡村振兴与生态保护同频共振。聚焦“产业兴旺、生态宜居、乡风文明、治理有效、生活富裕”总要求，以科技创新为第一动力，以深化农村改革为突破路径，充分释放生态红利、激活资源禀赋、强化区位联动，构建具有崇明特色的现代化农业农村发展体系。大力实施“生态+”“+生态”发展战略，持续提升乡村产业发展水平、乡村建设水平、乡村治理水平，全力推动农业增效益、农村增活力、农民增收入，争创乡村振兴全国样板，奋力绘就崇明农业农村现代化新篇章。</w:t>
      </w:r>
    </w:p>
    <w:p w14:paraId="3BF42B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3" w:firstLineChars="200"/>
        <w:jc w:val="both"/>
        <w:textAlignment w:val="auto"/>
        <w:outlineLvl w:val="9"/>
        <w:rPr>
          <w:rFonts w:hint="eastAsia" w:ascii="仿宋_GB2312" w:hAnsi="仿宋_GB2312" w:eastAsia="仿宋_GB2312" w:cs="仿宋_GB2312"/>
          <w:b w:val="0"/>
          <w:color w:val="auto"/>
          <w:w w:val="100"/>
          <w:sz w:val="32"/>
          <w:szCs w:val="32"/>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——坚持党的全面领导。</w:t>
      </w:r>
      <w:r>
        <w:rPr>
          <w:rFonts w:hint="eastAsia" w:ascii="仿宋_GB2312" w:hAnsi="仿宋_GB2312" w:eastAsia="仿宋_GB2312" w:cs="仿宋_GB2312"/>
          <w:b w:val="0"/>
          <w:color w:val="auto"/>
          <w:w w:val="100"/>
          <w:sz w:val="32"/>
          <w:szCs w:val="32"/>
          <w:highlight w:val="none"/>
          <w:lang w:val="en-US" w:eastAsia="zh-CN"/>
        </w:rPr>
        <w:t>充分发挥党总揽全局、协调各方的领导核心作用，健全党管农业农村工作的体制、机制，构建系统完备、执行有力的政策体系。强化农村基层党组织建设，夯实党在农村的执政基础，为乡村全面振兴提供坚强有力的政治保障和组织保障。</w:t>
      </w:r>
    </w:p>
    <w:p w14:paraId="3872D7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3" w:firstLineChars="200"/>
        <w:jc w:val="both"/>
        <w:textAlignment w:val="auto"/>
        <w:outlineLvl w:val="9"/>
        <w:rPr>
          <w:rFonts w:hint="eastAsia" w:ascii="仿宋_GB2312" w:hAnsi="仿宋_GB2312" w:eastAsia="仿宋_GB2312" w:cs="仿宋_GB2312"/>
          <w:b w:val="0"/>
          <w:color w:val="auto"/>
          <w:w w:val="100"/>
          <w:sz w:val="32"/>
          <w:szCs w:val="32"/>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——坚持生态优先导向。</w:t>
      </w:r>
      <w:r>
        <w:rPr>
          <w:rFonts w:hint="eastAsia" w:ascii="仿宋_GB2312" w:hAnsi="仿宋_GB2312" w:eastAsia="仿宋_GB2312" w:cs="仿宋_GB2312"/>
          <w:b w:val="0"/>
          <w:color w:val="auto"/>
          <w:w w:val="100"/>
          <w:sz w:val="32"/>
          <w:szCs w:val="32"/>
          <w:highlight w:val="none"/>
          <w:lang w:val="en-US" w:eastAsia="zh-CN"/>
        </w:rPr>
        <w:t>依托世界级生态岛建设定位，深入践行“绿水青山就是金山银山”理念。</w:t>
      </w:r>
      <w:r>
        <w:rPr>
          <w:rFonts w:hint="eastAsia" w:ascii="仿宋_GB2312" w:hAnsi="仿宋_GB2312" w:eastAsia="仿宋_GB2312" w:cs="仿宋_GB2312"/>
          <w:color w:val="auto"/>
          <w:sz w:val="32"/>
          <w:szCs w:val="32"/>
          <w:highlight w:val="none"/>
        </w:rPr>
        <w:t>以生态为底色厚植发展根基，以生产为支撑推动产业升级，以生活为导向提升民生福祉，协同推进农村生态建设、农业生产提质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农民生活品质</w:t>
      </w:r>
      <w:r>
        <w:rPr>
          <w:rFonts w:hint="eastAsia" w:ascii="仿宋_GB2312" w:hAnsi="仿宋_GB2312" w:eastAsia="仿宋_GB2312" w:cs="仿宋_GB2312"/>
          <w:color w:val="auto"/>
          <w:sz w:val="32"/>
          <w:szCs w:val="32"/>
          <w:highlight w:val="none"/>
          <w:lang w:val="en-US" w:eastAsia="zh-CN"/>
        </w:rPr>
        <w:t>升级</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三生融合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发展，打造绿色低碳的乡村发展样板。</w:t>
      </w:r>
    </w:p>
    <w:p w14:paraId="39BD9B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3" w:firstLineChars="200"/>
        <w:jc w:val="both"/>
        <w:textAlignment w:val="auto"/>
        <w:outlineLvl w:val="9"/>
        <w:rPr>
          <w:rFonts w:hint="eastAsia" w:ascii="仿宋_GB2312" w:hAnsi="仿宋_GB2312" w:eastAsia="仿宋_GB2312" w:cs="仿宋_GB2312"/>
          <w:b w:val="0"/>
          <w:color w:val="auto"/>
          <w:w w:val="100"/>
          <w:sz w:val="32"/>
          <w:szCs w:val="32"/>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——坚持因地制宜发展。</w:t>
      </w:r>
      <w:r>
        <w:rPr>
          <w:rFonts w:hint="eastAsia" w:ascii="仿宋_GB2312" w:hAnsi="仿宋_GB2312" w:eastAsia="仿宋_GB2312" w:cs="仿宋_GB2312"/>
          <w:b w:val="0"/>
          <w:color w:val="auto"/>
          <w:w w:val="100"/>
          <w:sz w:val="32"/>
          <w:szCs w:val="32"/>
          <w:highlight w:val="none"/>
          <w:lang w:val="en-US" w:eastAsia="zh-CN"/>
        </w:rPr>
        <w:t>科学把握各乡镇和村居生态资源禀赋、空间格局特征、产业发展基础</w:t>
      </w:r>
      <w:r>
        <w:rPr>
          <w:rFonts w:hint="eastAsia" w:ascii="仿宋_GB2312" w:hAnsi="仿宋_GB2312" w:eastAsia="仿宋_GB2312" w:cs="仿宋_GB2312"/>
          <w:b w:val="0"/>
          <w:bCs w:val="0"/>
          <w:color w:val="auto"/>
          <w:w w:val="100"/>
          <w:sz w:val="32"/>
          <w:szCs w:val="32"/>
          <w:highlight w:val="none"/>
          <w:lang w:val="en-US" w:eastAsia="zh-CN"/>
        </w:rPr>
        <w:t>，</w:t>
      </w:r>
      <w:r>
        <w:rPr>
          <w:rFonts w:hint="eastAsia" w:ascii="仿宋_GB2312" w:hAnsi="仿宋_GB2312" w:eastAsia="仿宋_GB2312" w:cs="仿宋_GB2312"/>
          <w:b w:val="0"/>
          <w:color w:val="auto"/>
          <w:w w:val="100"/>
          <w:sz w:val="32"/>
          <w:szCs w:val="32"/>
          <w:highlight w:val="none"/>
          <w:lang w:val="en-US" w:eastAsia="zh-CN"/>
        </w:rPr>
        <w:t>坚持国家所谋、上海所需、崇明所能、群众所盼、未来所向，制定差异化发展策略。分类推动传统产业转型升级、实体经济壮大规模、未来产业前瞻布局，避免“千村一面”发展困境，打造各具特色的乡村振兴新版图。</w:t>
      </w:r>
    </w:p>
    <w:p w14:paraId="6872D8E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3" w:firstLineChars="200"/>
        <w:jc w:val="both"/>
        <w:textAlignment w:val="auto"/>
        <w:outlineLvl w:val="9"/>
        <w:rPr>
          <w:rFonts w:hint="default" w:ascii="仿宋_GB2312" w:hAnsi="仿宋_GB2312" w:eastAsia="仿宋_GB2312" w:cs="仿宋_GB2312"/>
          <w:b w:val="0"/>
          <w:color w:val="auto"/>
          <w:w w:val="100"/>
          <w:sz w:val="32"/>
          <w:szCs w:val="32"/>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——坚持农民主体地位。</w:t>
      </w:r>
      <w:r>
        <w:rPr>
          <w:rFonts w:hint="eastAsia" w:ascii="仿宋_GB2312" w:hAnsi="仿宋_GB2312" w:eastAsia="仿宋_GB2312" w:cs="仿宋_GB2312"/>
          <w:b w:val="0"/>
          <w:color w:val="auto"/>
          <w:w w:val="100"/>
          <w:sz w:val="32"/>
          <w:szCs w:val="32"/>
          <w:highlight w:val="none"/>
          <w:lang w:val="en-US" w:eastAsia="zh-CN"/>
        </w:rPr>
        <w:t>充分尊重农民的主体价值，把维护农民群众根本利益、促进农民共同富裕作为“三农”工作的出发点和落脚点。全面调动农民群众的积极性、主动性和创造性，培育适应新时代发展需求的新型农民，让农民成为乡村振兴的参与者、建设者和受益者。</w:t>
      </w:r>
    </w:p>
    <w:p w14:paraId="42A925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3" w:firstLineChars="200"/>
        <w:jc w:val="both"/>
        <w:textAlignment w:val="auto"/>
        <w:outlineLvl w:val="9"/>
        <w:rPr>
          <w:rFonts w:hint="eastAsia"/>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——坚持深化改革创新。</w:t>
      </w:r>
      <w:r>
        <w:rPr>
          <w:rFonts w:hint="eastAsia" w:ascii="仿宋_GB2312" w:hAnsi="仿宋_GB2312" w:eastAsia="仿宋_GB2312" w:cs="仿宋_GB2312"/>
          <w:b w:val="0"/>
          <w:color w:val="auto"/>
          <w:w w:val="100"/>
          <w:sz w:val="32"/>
          <w:szCs w:val="32"/>
          <w:highlight w:val="none"/>
          <w:lang w:val="en-US" w:eastAsia="zh-CN"/>
        </w:rPr>
        <w:t xml:space="preserve">推进农村土地制度、产权制度改革，破除体制机制障碍，激活农村资源要素。强化科技创新，推动农业农村数字化转型，提升农业科技水平和农村治理效能。创新乡村产业发展模式，探索人才培养与引进机制，拓展社会力量参与途径，全方位激发乡村发展活力。 </w:t>
      </w:r>
    </w:p>
    <w:p w14:paraId="7734CA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（二）发展目标</w:t>
      </w:r>
    </w:p>
    <w:p w14:paraId="5043DC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0" w:firstLineChars="200"/>
        <w:jc w:val="both"/>
        <w:textAlignment w:val="auto"/>
        <w:outlineLvl w:val="9"/>
        <w:rPr>
          <w:rFonts w:hint="eastAsia" w:ascii="仿宋_GB2312" w:hAnsi="仿宋_GB2312" w:eastAsia="仿宋_GB2312" w:cs="仿宋_GB2312"/>
          <w:b w:val="0"/>
          <w:color w:val="auto"/>
          <w:w w:val="100"/>
          <w:sz w:val="32"/>
          <w:szCs w:val="32"/>
          <w:highlight w:val="none"/>
          <w:lang w:val="en-US" w:eastAsia="zh-CN"/>
        </w:rPr>
      </w:pPr>
      <w:r>
        <w:rPr>
          <w:rFonts w:hint="eastAsia" w:ascii="仿宋_GB2312" w:hAnsi="仿宋_GB2312" w:eastAsia="仿宋_GB2312" w:cs="仿宋_GB2312"/>
          <w:b w:val="0"/>
          <w:color w:val="auto"/>
          <w:w w:val="100"/>
          <w:sz w:val="32"/>
          <w:szCs w:val="32"/>
          <w:highlight w:val="none"/>
          <w:lang w:val="en-US" w:eastAsia="zh-CN"/>
        </w:rPr>
        <w:t>到2030年，</w:t>
      </w:r>
      <w:r>
        <w:rPr>
          <w:rFonts w:hint="default" w:ascii="仿宋_GB2312" w:hAnsi="仿宋_GB2312" w:eastAsia="仿宋_GB2312" w:cs="仿宋_GB2312"/>
          <w:b w:val="0"/>
          <w:color w:val="auto"/>
          <w:w w:val="100"/>
          <w:sz w:val="32"/>
          <w:szCs w:val="32"/>
          <w:highlight w:val="none"/>
          <w:lang w:val="en-US" w:eastAsia="zh-CN"/>
        </w:rPr>
        <w:t>始终坚守创新驱动、绿色引领、协同发展的战略理念，深度践行农业农村优先发展方针，</w:t>
      </w:r>
      <w:r>
        <w:rPr>
          <w:rFonts w:hint="eastAsia" w:ascii="仿宋_GB2312" w:hAnsi="仿宋_GB2312" w:eastAsia="仿宋_GB2312" w:cs="仿宋_GB2312"/>
          <w:b w:val="0"/>
          <w:color w:val="auto"/>
          <w:w w:val="100"/>
          <w:sz w:val="32"/>
          <w:szCs w:val="32"/>
          <w:highlight w:val="none"/>
          <w:lang w:val="en-US" w:eastAsia="zh-CN"/>
        </w:rPr>
        <w:t>推动崇明乡村全面振兴取得实质性</w:t>
      </w:r>
      <w:r>
        <w:rPr>
          <w:rFonts w:hint="default" w:ascii="仿宋_GB2312" w:hAnsi="仿宋_GB2312" w:eastAsia="仿宋_GB2312" w:cs="仿宋_GB2312"/>
          <w:b w:val="0"/>
          <w:color w:val="auto"/>
          <w:w w:val="100"/>
          <w:sz w:val="32"/>
          <w:szCs w:val="32"/>
          <w:highlight w:val="none"/>
          <w:lang w:val="en-US" w:eastAsia="zh-CN"/>
        </w:rPr>
        <w:t>、突破性进展</w:t>
      </w:r>
      <w:r>
        <w:rPr>
          <w:rFonts w:hint="eastAsia" w:ascii="仿宋_GB2312" w:hAnsi="仿宋_GB2312" w:eastAsia="仿宋_GB2312" w:cs="仿宋_GB2312"/>
          <w:b w:val="0"/>
          <w:color w:val="auto"/>
          <w:w w:val="100"/>
          <w:sz w:val="32"/>
          <w:szCs w:val="32"/>
          <w:highlight w:val="none"/>
          <w:lang w:val="en-US" w:eastAsia="zh-CN"/>
        </w:rPr>
        <w:t>，农业农村现代化迈上新台阶。着力打造农业高质量发展新标杆、农村生态宜居和美建设新典范、农民富裕富足生活新样板，为世界级生态岛建设夯实根基，为乡村振兴事业贡献崇明智慧、展现崇明担当、树立崇明典范。</w:t>
      </w:r>
    </w:p>
    <w:p w14:paraId="51A9D8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3" w:firstLineChars="200"/>
        <w:jc w:val="both"/>
        <w:textAlignment w:val="auto"/>
        <w:outlineLvl w:val="9"/>
        <w:rPr>
          <w:rFonts w:hint="eastAsia" w:ascii="仿宋_GB2312" w:hAnsi="仿宋_GB2312" w:eastAsia="仿宋_GB2312" w:cs="仿宋_GB2312"/>
          <w:b w:val="0"/>
          <w:color w:val="auto"/>
          <w:w w:val="100"/>
          <w:sz w:val="32"/>
          <w:szCs w:val="32"/>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农业发展实现新跨越，加快促进现代农业腾飞跃升。</w:t>
      </w:r>
      <w:r>
        <w:rPr>
          <w:rFonts w:hint="eastAsia" w:ascii="仿宋_GB2312" w:hAnsi="仿宋_GB2312" w:eastAsia="仿宋_GB2312" w:cs="仿宋_GB2312"/>
          <w:b w:val="0"/>
          <w:color w:val="auto"/>
          <w:w w:val="100"/>
          <w:sz w:val="32"/>
          <w:szCs w:val="32"/>
          <w:highlight w:val="none"/>
          <w:lang w:val="en-US" w:eastAsia="zh-CN"/>
        </w:rPr>
        <w:t>大力发展都市现代农业，加快农业全产业链建设，</w:t>
      </w:r>
      <w:r>
        <w:rPr>
          <w:rFonts w:hint="default" w:ascii="仿宋_GB2312" w:hAnsi="仿宋_GB2312" w:eastAsia="仿宋_GB2312" w:cs="仿宋_GB2312"/>
          <w:b w:val="0"/>
          <w:color w:val="auto"/>
          <w:w w:val="100"/>
          <w:sz w:val="32"/>
          <w:szCs w:val="32"/>
          <w:highlight w:val="none"/>
          <w:lang w:val="en-US" w:eastAsia="zh-CN"/>
        </w:rPr>
        <w:t>构建集</w:t>
      </w:r>
      <w:r>
        <w:rPr>
          <w:rFonts w:hint="eastAsia" w:ascii="仿宋_GB2312" w:hAnsi="仿宋_GB2312" w:eastAsia="仿宋_GB2312" w:cs="仿宋_GB2312"/>
          <w:b w:val="0"/>
          <w:color w:val="auto"/>
          <w:w w:val="100"/>
          <w:sz w:val="32"/>
          <w:szCs w:val="32"/>
          <w:highlight w:val="none"/>
          <w:lang w:val="en-US" w:eastAsia="zh-CN"/>
        </w:rPr>
        <w:t>标准化生产</w:t>
      </w:r>
      <w:r>
        <w:rPr>
          <w:rFonts w:hint="default" w:ascii="仿宋_GB2312" w:hAnsi="仿宋_GB2312" w:eastAsia="仿宋_GB2312" w:cs="仿宋_GB2312"/>
          <w:b w:val="0"/>
          <w:color w:val="auto"/>
          <w:w w:val="100"/>
          <w:sz w:val="32"/>
          <w:szCs w:val="32"/>
          <w:highlight w:val="none"/>
          <w:lang w:val="en-US" w:eastAsia="zh-CN"/>
        </w:rPr>
        <w:t>、数字化管理</w:t>
      </w:r>
      <w:r>
        <w:rPr>
          <w:rFonts w:hint="eastAsia" w:ascii="仿宋_GB2312" w:hAnsi="仿宋_GB2312" w:eastAsia="仿宋_GB2312" w:cs="仿宋_GB2312"/>
          <w:b w:val="0"/>
          <w:color w:val="auto"/>
          <w:w w:val="100"/>
          <w:sz w:val="32"/>
          <w:szCs w:val="32"/>
          <w:highlight w:val="none"/>
          <w:lang w:val="en-US" w:eastAsia="zh-CN"/>
        </w:rPr>
        <w:t>、品牌化销售</w:t>
      </w:r>
      <w:r>
        <w:rPr>
          <w:rFonts w:hint="default" w:ascii="仿宋_GB2312" w:hAnsi="仿宋_GB2312" w:eastAsia="仿宋_GB2312" w:cs="仿宋_GB2312"/>
          <w:b w:val="0"/>
          <w:color w:val="auto"/>
          <w:w w:val="100"/>
          <w:sz w:val="32"/>
          <w:szCs w:val="32"/>
          <w:highlight w:val="none"/>
          <w:lang w:val="en-US" w:eastAsia="zh-CN"/>
        </w:rPr>
        <w:t>于一体的高效智慧农业体系，</w:t>
      </w:r>
      <w:r>
        <w:rPr>
          <w:rFonts w:hint="eastAsia" w:ascii="仿宋_GB2312" w:hAnsi="仿宋_GB2312" w:eastAsia="仿宋_GB2312" w:cs="仿宋_GB2312"/>
          <w:b w:val="0"/>
          <w:color w:val="auto"/>
          <w:w w:val="100"/>
          <w:sz w:val="32"/>
          <w:szCs w:val="32"/>
          <w:highlight w:val="none"/>
          <w:lang w:val="en-US" w:eastAsia="zh-CN"/>
        </w:rPr>
        <w:t>提升农业产业综合效益和市场竞争力。强化科技创新驱动，高标准推进长三角农业硅谷建设，积极引育农业新质生产力，</w:t>
      </w:r>
      <w:r>
        <w:rPr>
          <w:rFonts w:hint="default" w:ascii="仿宋_GB2312" w:hAnsi="仿宋_GB2312" w:eastAsia="仿宋_GB2312" w:cs="仿宋_GB2312"/>
          <w:b w:val="0"/>
          <w:color w:val="auto"/>
          <w:w w:val="100"/>
          <w:sz w:val="32"/>
          <w:szCs w:val="32"/>
          <w:highlight w:val="none"/>
          <w:lang w:val="en-US" w:eastAsia="zh-CN"/>
        </w:rPr>
        <w:t>引领农业产业迈向高端化</w:t>
      </w:r>
      <w:r>
        <w:rPr>
          <w:rFonts w:hint="eastAsia" w:ascii="仿宋_GB2312" w:hAnsi="仿宋_GB2312" w:eastAsia="仿宋_GB2312" w:cs="仿宋_GB2312"/>
          <w:b w:val="0"/>
          <w:color w:val="auto"/>
          <w:w w:val="100"/>
          <w:sz w:val="32"/>
          <w:szCs w:val="32"/>
          <w:highlight w:val="none"/>
          <w:lang w:val="en-US" w:eastAsia="zh-CN"/>
        </w:rPr>
        <w:t>、数</w:t>
      </w:r>
      <w:r>
        <w:rPr>
          <w:rFonts w:hint="default" w:ascii="仿宋_GB2312" w:hAnsi="仿宋_GB2312" w:eastAsia="仿宋_GB2312" w:cs="仿宋_GB2312"/>
          <w:b w:val="0"/>
          <w:color w:val="auto"/>
          <w:w w:val="100"/>
          <w:sz w:val="32"/>
          <w:szCs w:val="32"/>
          <w:highlight w:val="none"/>
          <w:lang w:val="en-US" w:eastAsia="zh-CN"/>
        </w:rPr>
        <w:t>智化、绿色化发展轨道。</w:t>
      </w:r>
    </w:p>
    <w:p w14:paraId="7A982F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3" w:firstLineChars="200"/>
        <w:jc w:val="both"/>
        <w:textAlignment w:val="auto"/>
        <w:outlineLvl w:val="9"/>
        <w:rPr>
          <w:rFonts w:hint="default" w:ascii="仿宋_GB2312" w:hAnsi="仿宋_GB2312" w:eastAsia="仿宋_GB2312" w:cs="仿宋_GB2312"/>
          <w:b w:val="0"/>
          <w:color w:val="auto"/>
          <w:w w:val="100"/>
          <w:sz w:val="32"/>
          <w:szCs w:val="32"/>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农村建设取得新突破，加快推动和美乡村全域覆盖。</w:t>
      </w:r>
      <w:r>
        <w:rPr>
          <w:rFonts w:hint="eastAsia" w:ascii="仿宋_GB2312" w:hAnsi="仿宋_GB2312" w:eastAsia="仿宋_GB2312" w:cs="仿宋_GB2312"/>
          <w:b w:val="0"/>
          <w:color w:val="auto"/>
          <w:w w:val="100"/>
          <w:sz w:val="32"/>
          <w:szCs w:val="32"/>
          <w:highlight w:val="none"/>
          <w:lang w:val="en-US" w:eastAsia="zh-CN"/>
        </w:rPr>
        <w:t>稳步推进</w:t>
      </w:r>
      <w:r>
        <w:rPr>
          <w:rFonts w:hint="eastAsia" w:ascii="仿宋_GB2312" w:hAnsi="仿宋_GB2312" w:eastAsia="仿宋_GB2312" w:cs="仿宋_GB2312"/>
          <w:b w:val="0"/>
          <w:strike w:val="0"/>
          <w:dstrike w:val="0"/>
          <w:color w:val="auto"/>
          <w:w w:val="100"/>
          <w:sz w:val="32"/>
          <w:szCs w:val="32"/>
          <w:highlight w:val="none"/>
          <w:lang w:val="en-US" w:eastAsia="zh-CN"/>
        </w:rPr>
        <w:t>宜居宜业</w:t>
      </w:r>
      <w:r>
        <w:rPr>
          <w:rFonts w:hint="eastAsia" w:ascii="仿宋_GB2312" w:hAnsi="仿宋_GB2312" w:eastAsia="仿宋_GB2312" w:cs="仿宋_GB2312"/>
          <w:b w:val="0"/>
          <w:color w:val="auto"/>
          <w:w w:val="100"/>
          <w:sz w:val="32"/>
          <w:szCs w:val="32"/>
          <w:highlight w:val="none"/>
          <w:lang w:val="en-US" w:eastAsia="zh-CN"/>
        </w:rPr>
        <w:t>和美乡村</w:t>
      </w:r>
      <w:r>
        <w:rPr>
          <w:rFonts w:hint="eastAsia" w:ascii="仿宋_GB2312" w:hAnsi="仿宋_GB2312" w:eastAsia="仿宋_GB2312" w:cs="仿宋_GB2312"/>
          <w:b w:val="0"/>
          <w:strike w:val="0"/>
          <w:dstrike w:val="0"/>
          <w:color w:val="auto"/>
          <w:w w:val="100"/>
          <w:sz w:val="32"/>
          <w:szCs w:val="32"/>
          <w:highlight w:val="none"/>
          <w:lang w:val="en-US" w:eastAsia="zh-CN"/>
        </w:rPr>
        <w:t>片区</w:t>
      </w:r>
      <w:r>
        <w:rPr>
          <w:rFonts w:hint="eastAsia" w:ascii="仿宋_GB2312" w:hAnsi="仿宋_GB2312" w:eastAsia="仿宋_GB2312" w:cs="仿宋_GB2312"/>
          <w:b w:val="0"/>
          <w:color w:val="auto"/>
          <w:w w:val="100"/>
          <w:sz w:val="32"/>
          <w:szCs w:val="32"/>
          <w:highlight w:val="none"/>
          <w:lang w:val="en-US" w:eastAsia="zh-CN"/>
        </w:rPr>
        <w:t>建设，全域实施人居环境优化工程，打造宜居宜业宜游的乡村环境。持续推动乡村治理现代化，</w:t>
      </w:r>
      <w:r>
        <w:rPr>
          <w:rFonts w:hint="default" w:ascii="仿宋_GB2312" w:hAnsi="仿宋_GB2312" w:eastAsia="仿宋_GB2312" w:cs="仿宋_GB2312"/>
          <w:b w:val="0"/>
          <w:color w:val="auto"/>
          <w:w w:val="100"/>
          <w:sz w:val="32"/>
          <w:szCs w:val="32"/>
          <w:highlight w:val="none"/>
          <w:lang w:val="en-US" w:eastAsia="zh-CN"/>
        </w:rPr>
        <w:t>以生态优先、绿色发展为导向，构建生态环境优美、基础设施完备、公共服务优质、乡村文化繁荣的现代化乡村新形态</w:t>
      </w:r>
      <w:r>
        <w:rPr>
          <w:rFonts w:hint="eastAsia" w:ascii="仿宋_GB2312" w:hAnsi="仿宋_GB2312" w:eastAsia="仿宋_GB2312" w:cs="仿宋_GB2312"/>
          <w:b w:val="0"/>
          <w:color w:val="auto"/>
          <w:w w:val="100"/>
          <w:sz w:val="32"/>
          <w:szCs w:val="32"/>
          <w:highlight w:val="none"/>
          <w:lang w:val="en-US" w:eastAsia="zh-CN"/>
        </w:rPr>
        <w:t>。</w:t>
      </w:r>
    </w:p>
    <w:p w14:paraId="601317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firstLine="643" w:firstLineChars="200"/>
        <w:jc w:val="both"/>
        <w:textAlignment w:val="auto"/>
        <w:outlineLvl w:val="9"/>
        <w:rPr>
          <w:rFonts w:hint="eastAsia" w:ascii="国标黑体" w:hAnsi="国标黑体" w:eastAsia="国标黑体" w:cs="国标黑体"/>
          <w:color w:val="auto"/>
          <w:sz w:val="32"/>
          <w:szCs w:val="32"/>
          <w:highlight w:val="none"/>
          <w:lang w:val="en-US" w:eastAsia="zh-CN"/>
        </w:rPr>
      </w:pPr>
      <w:r>
        <w:rPr>
          <w:rFonts w:hint="eastAsia" w:ascii="仿宋_GB2312" w:hAnsi="仿宋_GB2312" w:eastAsia="仿宋_GB2312" w:cs="仿宋_GB2312"/>
          <w:b/>
          <w:bCs/>
          <w:color w:val="auto"/>
          <w:w w:val="100"/>
          <w:sz w:val="32"/>
          <w:szCs w:val="32"/>
          <w:highlight w:val="none"/>
          <w:lang w:val="en-US" w:eastAsia="zh-CN"/>
        </w:rPr>
        <w:t>农民生活展现新风貌，加快实现农民群众富裕富足。</w:t>
      </w:r>
      <w:r>
        <w:rPr>
          <w:rFonts w:hint="eastAsia" w:ascii="仿宋_GB2312" w:hAnsi="仿宋_GB2312" w:eastAsia="仿宋_GB2312" w:cs="仿宋_GB2312"/>
          <w:b w:val="0"/>
          <w:color w:val="auto"/>
          <w:w w:val="100"/>
          <w:sz w:val="32"/>
          <w:szCs w:val="32"/>
          <w:highlight w:val="none"/>
          <w:lang w:val="en-US" w:eastAsia="zh-CN"/>
        </w:rPr>
        <w:t>大力拓展乡村多元产业，依托集体经济运营平台，打通“土特产”供应渠道，推动集体经济大幅提升、农民收入显著增加。</w:t>
      </w:r>
      <w:r>
        <w:rPr>
          <w:rFonts w:hint="default" w:ascii="仿宋_GB2312" w:hAnsi="仿宋_GB2312" w:eastAsia="仿宋_GB2312" w:cs="仿宋_GB2312"/>
          <w:b w:val="0"/>
          <w:color w:val="auto"/>
          <w:w w:val="100"/>
          <w:sz w:val="32"/>
          <w:szCs w:val="32"/>
          <w:highlight w:val="none"/>
          <w:lang w:val="en-US" w:eastAsia="zh-CN"/>
        </w:rPr>
        <w:t>完善农村社会保障体系，提升农民生活品质和幸福感。</w:t>
      </w:r>
      <w:r>
        <w:rPr>
          <w:rFonts w:hint="eastAsia" w:ascii="仿宋_GB2312" w:hAnsi="仿宋_GB2312" w:eastAsia="仿宋_GB2312" w:cs="仿宋_GB2312"/>
          <w:b w:val="0"/>
          <w:color w:val="auto"/>
          <w:w w:val="100"/>
          <w:sz w:val="32"/>
          <w:szCs w:val="32"/>
          <w:highlight w:val="none"/>
          <w:lang w:val="en-US" w:eastAsia="zh-CN"/>
        </w:rPr>
        <w:t>扎实推进</w:t>
      </w:r>
      <w:r>
        <w:rPr>
          <w:rFonts w:hint="default" w:ascii="仿宋_GB2312" w:hAnsi="仿宋_GB2312" w:eastAsia="仿宋_GB2312" w:cs="仿宋_GB2312"/>
          <w:b w:val="0"/>
          <w:color w:val="auto"/>
          <w:w w:val="100"/>
          <w:sz w:val="32"/>
          <w:szCs w:val="32"/>
          <w:highlight w:val="none"/>
          <w:lang w:val="en-US" w:eastAsia="zh-CN"/>
        </w:rPr>
        <w:t>农村精神文明建设，提高农民综合素质，培养有文化、懂技术、善经营、会管理的新型农民</w:t>
      </w:r>
      <w:r>
        <w:rPr>
          <w:rFonts w:hint="eastAsia" w:ascii="仿宋_GB2312" w:hAnsi="仿宋_GB2312" w:eastAsia="仿宋_GB2312" w:cs="仿宋_GB2312"/>
          <w:b w:val="0"/>
          <w:color w:val="auto"/>
          <w:w w:val="100"/>
          <w:sz w:val="32"/>
          <w:szCs w:val="32"/>
          <w:highlight w:val="none"/>
          <w:lang w:val="en-US" w:eastAsia="zh-CN"/>
        </w:rPr>
        <w:t>。多措并举，</w:t>
      </w:r>
      <w:r>
        <w:rPr>
          <w:rFonts w:hint="default" w:ascii="仿宋_GB2312" w:hAnsi="仿宋_GB2312" w:eastAsia="仿宋_GB2312" w:cs="仿宋_GB2312"/>
          <w:b w:val="0"/>
          <w:color w:val="auto"/>
          <w:w w:val="100"/>
          <w:sz w:val="32"/>
          <w:szCs w:val="32"/>
          <w:highlight w:val="none"/>
          <w:lang w:val="en-US" w:eastAsia="zh-CN"/>
        </w:rPr>
        <w:t>构建就业充分、收入稳定、保障健全、生活幸福的农民生活新图景</w:t>
      </w:r>
      <w:r>
        <w:rPr>
          <w:rFonts w:hint="eastAsia" w:ascii="仿宋_GB2312" w:hAnsi="仿宋_GB2312" w:eastAsia="仿宋_GB2312" w:cs="仿宋_GB2312"/>
          <w:b w:val="0"/>
          <w:color w:val="auto"/>
          <w:w w:val="100"/>
          <w:sz w:val="32"/>
          <w:szCs w:val="32"/>
          <w:highlight w:val="none"/>
          <w:lang w:val="en-US" w:eastAsia="zh-CN"/>
        </w:rPr>
        <w:t>。</w:t>
      </w:r>
    </w:p>
    <w:p w14:paraId="3EA36AA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cs="黑体"/>
          <w:color w:val="auto"/>
          <w:sz w:val="32"/>
          <w:szCs w:val="32"/>
          <w:highlight w:val="none"/>
          <w:lang w:val="en-US" w:eastAsia="zh-CN"/>
        </w:rPr>
      </w:pPr>
    </w:p>
    <w:p w14:paraId="31C7B01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cs="黑体"/>
          <w:color w:val="auto"/>
          <w:sz w:val="28"/>
          <w:szCs w:val="28"/>
          <w:highlight w:val="none"/>
          <w:lang w:val="en-US" w:eastAsia="zh-CN"/>
        </w:rPr>
      </w:pPr>
    </w:p>
    <w:p w14:paraId="3047C04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cs="黑体"/>
          <w:color w:val="auto"/>
          <w:sz w:val="28"/>
          <w:szCs w:val="28"/>
          <w:highlight w:val="none"/>
          <w:lang w:val="en-US" w:eastAsia="zh-CN"/>
        </w:rPr>
      </w:pPr>
    </w:p>
    <w:p w14:paraId="2D0CE93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cs="黑体"/>
          <w:b w:val="0"/>
          <w:color w:val="auto"/>
          <w:w w:val="100"/>
          <w:sz w:val="32"/>
          <w:szCs w:val="32"/>
          <w:highlight w:val="none"/>
          <w:lang w:val="en-US" w:eastAsia="zh-CN"/>
        </w:rPr>
      </w:pPr>
      <w:r>
        <w:rPr>
          <w:rFonts w:hint="eastAsia" w:ascii="黑体" w:hAnsi="黑体" w:eastAsia="黑体" w:cs="黑体"/>
          <w:color w:val="auto"/>
          <w:sz w:val="28"/>
          <w:szCs w:val="28"/>
          <w:highlight w:val="none"/>
          <w:lang w:val="en-US" w:eastAsia="zh-CN"/>
        </w:rPr>
        <w:t>表1</w:t>
      </w:r>
      <w:r>
        <w:rPr>
          <w:rFonts w:hint="eastAsia" w:ascii="黑体" w:hAnsi="黑体" w:eastAsia="黑体" w:cs="黑体"/>
          <w:b w:val="0"/>
          <w:color w:val="auto"/>
          <w:w w:val="100"/>
          <w:sz w:val="28"/>
          <w:szCs w:val="28"/>
          <w:highlight w:val="none"/>
          <w:lang w:val="en-US" w:eastAsia="zh-CN"/>
        </w:rPr>
        <w:t>“十五五”崇明推进乡村全面振兴主要指标</w:t>
      </w:r>
    </w:p>
    <w:tbl>
      <w:tblPr>
        <w:tblStyle w:val="1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9"/>
        <w:gridCol w:w="3401"/>
        <w:gridCol w:w="987"/>
        <w:gridCol w:w="1600"/>
        <w:gridCol w:w="1203"/>
      </w:tblGrid>
      <w:tr w14:paraId="3635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blHeader/>
          <w:jc w:val="center"/>
        </w:trPr>
        <w:tc>
          <w:tcPr>
            <w:tcW w:w="828" w:type="dxa"/>
            <w:noWrap w:val="0"/>
            <w:vAlign w:val="center"/>
          </w:tcPr>
          <w:p w14:paraId="366550E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firstLine="0" w:firstLineChars="0"/>
              <w:jc w:val="center"/>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序号</w:t>
            </w:r>
          </w:p>
        </w:tc>
        <w:tc>
          <w:tcPr>
            <w:tcW w:w="1449" w:type="dxa"/>
            <w:noWrap w:val="0"/>
            <w:vAlign w:val="center"/>
          </w:tcPr>
          <w:p w14:paraId="0CDB40B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firstLine="0" w:firstLineChars="0"/>
              <w:jc w:val="center"/>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指标分类</w:t>
            </w:r>
          </w:p>
        </w:tc>
        <w:tc>
          <w:tcPr>
            <w:tcW w:w="3401" w:type="dxa"/>
            <w:noWrap w:val="0"/>
            <w:vAlign w:val="center"/>
          </w:tcPr>
          <w:p w14:paraId="791868E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firstLine="0" w:firstLineChars="0"/>
              <w:jc w:val="center"/>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指标名称</w:t>
            </w:r>
          </w:p>
        </w:tc>
        <w:tc>
          <w:tcPr>
            <w:tcW w:w="987" w:type="dxa"/>
            <w:noWrap w:val="0"/>
            <w:vAlign w:val="center"/>
          </w:tcPr>
          <w:p w14:paraId="27E9AD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firstLine="0" w:firstLineChars="0"/>
              <w:jc w:val="center"/>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单位</w:t>
            </w:r>
          </w:p>
        </w:tc>
        <w:tc>
          <w:tcPr>
            <w:tcW w:w="1600" w:type="dxa"/>
            <w:noWrap w:val="0"/>
            <w:vAlign w:val="center"/>
          </w:tcPr>
          <w:p w14:paraId="67D52FB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2030年</w:t>
            </w:r>
          </w:p>
          <w:p w14:paraId="681C51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rPr>
                <w:rFonts w:hint="default"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目标值</w:t>
            </w:r>
          </w:p>
        </w:tc>
        <w:tc>
          <w:tcPr>
            <w:tcW w:w="1203" w:type="dxa"/>
            <w:noWrap w:val="0"/>
            <w:vAlign w:val="center"/>
          </w:tcPr>
          <w:p w14:paraId="6BB6C63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rPr>
                <w:rFonts w:hint="eastAsia" w:ascii="黑体" w:hAnsi="黑体" w:eastAsia="黑体" w:cs="黑体"/>
                <w:b w:val="0"/>
                <w:bCs w:val="0"/>
                <w:color w:val="auto"/>
                <w:kern w:val="2"/>
                <w:sz w:val="24"/>
                <w:szCs w:val="24"/>
                <w:highlight w:val="none"/>
                <w:lang w:val="en-US" w:eastAsia="zh-CN" w:bidi="ar-SA"/>
              </w:rPr>
            </w:pPr>
            <w:r>
              <w:rPr>
                <w:rFonts w:hint="eastAsia" w:ascii="黑体" w:hAnsi="黑体" w:eastAsia="黑体" w:cs="黑体"/>
                <w:b w:val="0"/>
                <w:bCs w:val="0"/>
                <w:color w:val="auto"/>
                <w:sz w:val="24"/>
                <w:szCs w:val="24"/>
                <w:highlight w:val="none"/>
                <w:lang w:val="en-US" w:eastAsia="zh-CN"/>
              </w:rPr>
              <w:t>指标类型</w:t>
            </w:r>
          </w:p>
        </w:tc>
      </w:tr>
      <w:tr w14:paraId="748E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28" w:type="dxa"/>
            <w:noWrap w:val="0"/>
            <w:vAlign w:val="center"/>
          </w:tcPr>
          <w:p w14:paraId="42C0D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449" w:type="dxa"/>
            <w:vMerge w:val="restart"/>
            <w:noWrap w:val="0"/>
            <w:vAlign w:val="center"/>
          </w:tcPr>
          <w:p w14:paraId="0F635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产业发展</w:t>
            </w:r>
          </w:p>
        </w:tc>
        <w:tc>
          <w:tcPr>
            <w:tcW w:w="3401" w:type="dxa"/>
            <w:shd w:val="clear" w:color="auto" w:fill="auto"/>
            <w:noWrap w:val="0"/>
            <w:vAlign w:val="center"/>
          </w:tcPr>
          <w:p w14:paraId="6EF8D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粮食综合生产能力</w:t>
            </w:r>
          </w:p>
        </w:tc>
        <w:tc>
          <w:tcPr>
            <w:tcW w:w="987" w:type="dxa"/>
            <w:shd w:val="clear" w:color="auto" w:fill="auto"/>
            <w:noWrap w:val="0"/>
            <w:vAlign w:val="center"/>
          </w:tcPr>
          <w:p w14:paraId="5B3B7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万吨</w:t>
            </w:r>
          </w:p>
        </w:tc>
        <w:tc>
          <w:tcPr>
            <w:tcW w:w="1600" w:type="dxa"/>
            <w:shd w:val="clear" w:color="auto" w:fill="auto"/>
            <w:noWrap w:val="0"/>
            <w:vAlign w:val="center"/>
          </w:tcPr>
          <w:p w14:paraId="79474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bCs/>
                <w:color w:val="auto"/>
                <w:kern w:val="2"/>
                <w:sz w:val="24"/>
                <w:szCs w:val="24"/>
                <w:highlight w:val="none"/>
                <w:lang w:val="en-US" w:eastAsia="zh-CN" w:bidi="ar-SA"/>
              </w:rPr>
              <w:t>15</w:t>
            </w:r>
          </w:p>
        </w:tc>
        <w:tc>
          <w:tcPr>
            <w:tcW w:w="1203" w:type="dxa"/>
            <w:shd w:val="clear" w:color="auto" w:fill="auto"/>
            <w:noWrap w:val="0"/>
            <w:vAlign w:val="center"/>
          </w:tcPr>
          <w:p w14:paraId="5FF22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预期性</w:t>
            </w:r>
          </w:p>
        </w:tc>
      </w:tr>
      <w:tr w14:paraId="7806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28" w:type="dxa"/>
            <w:noWrap w:val="0"/>
            <w:vAlign w:val="center"/>
          </w:tcPr>
          <w:p w14:paraId="4E2E3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449" w:type="dxa"/>
            <w:vMerge w:val="continue"/>
            <w:noWrap w:val="0"/>
            <w:vAlign w:val="center"/>
          </w:tcPr>
          <w:p w14:paraId="6541C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p>
        </w:tc>
        <w:tc>
          <w:tcPr>
            <w:tcW w:w="3401" w:type="dxa"/>
            <w:shd w:val="clear" w:color="auto" w:fill="auto"/>
            <w:noWrap w:val="0"/>
            <w:vAlign w:val="center"/>
          </w:tcPr>
          <w:p w14:paraId="2FBC1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绿色食品产量认证率</w:t>
            </w:r>
          </w:p>
        </w:tc>
        <w:tc>
          <w:tcPr>
            <w:tcW w:w="987" w:type="dxa"/>
            <w:shd w:val="clear" w:color="auto" w:fill="auto"/>
            <w:noWrap w:val="0"/>
            <w:vAlign w:val="center"/>
          </w:tcPr>
          <w:p w14:paraId="41E4C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600" w:type="dxa"/>
            <w:shd w:val="clear" w:color="auto" w:fill="auto"/>
            <w:noWrap w:val="0"/>
            <w:vAlign w:val="center"/>
          </w:tcPr>
          <w:p w14:paraId="286BB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203" w:type="dxa"/>
            <w:shd w:val="clear" w:color="auto" w:fill="auto"/>
            <w:noWrap w:val="0"/>
            <w:vAlign w:val="center"/>
          </w:tcPr>
          <w:p w14:paraId="5FCC9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约束性</w:t>
            </w:r>
          </w:p>
        </w:tc>
      </w:tr>
      <w:tr w14:paraId="2049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28" w:type="dxa"/>
            <w:noWrap w:val="0"/>
            <w:vAlign w:val="center"/>
          </w:tcPr>
          <w:p w14:paraId="11147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1449" w:type="dxa"/>
            <w:vMerge w:val="continue"/>
            <w:noWrap w:val="0"/>
            <w:vAlign w:val="center"/>
          </w:tcPr>
          <w:p w14:paraId="4A446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p>
        </w:tc>
        <w:tc>
          <w:tcPr>
            <w:tcW w:w="3401" w:type="dxa"/>
            <w:shd w:val="clear" w:color="auto" w:fill="auto"/>
            <w:noWrap w:val="0"/>
            <w:vAlign w:val="center"/>
          </w:tcPr>
          <w:p w14:paraId="3EA83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农业新品种新品系总数</w:t>
            </w:r>
          </w:p>
        </w:tc>
        <w:tc>
          <w:tcPr>
            <w:tcW w:w="987" w:type="dxa"/>
            <w:shd w:val="clear" w:color="auto" w:fill="auto"/>
            <w:noWrap w:val="0"/>
            <w:vAlign w:val="center"/>
          </w:tcPr>
          <w:p w14:paraId="7D57F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个</w:t>
            </w:r>
          </w:p>
        </w:tc>
        <w:tc>
          <w:tcPr>
            <w:tcW w:w="1600" w:type="dxa"/>
            <w:shd w:val="clear" w:color="auto" w:fill="auto"/>
            <w:noWrap w:val="0"/>
            <w:vAlign w:val="center"/>
          </w:tcPr>
          <w:p w14:paraId="2DF5E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12</w:t>
            </w:r>
          </w:p>
        </w:tc>
        <w:tc>
          <w:tcPr>
            <w:tcW w:w="1203" w:type="dxa"/>
            <w:shd w:val="clear" w:color="auto" w:fill="auto"/>
            <w:noWrap w:val="0"/>
            <w:vAlign w:val="center"/>
          </w:tcPr>
          <w:p w14:paraId="36691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预期性</w:t>
            </w:r>
          </w:p>
        </w:tc>
      </w:tr>
      <w:tr w14:paraId="0A51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828" w:type="dxa"/>
            <w:noWrap w:val="0"/>
            <w:vAlign w:val="center"/>
          </w:tcPr>
          <w:p w14:paraId="377A29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1449" w:type="dxa"/>
            <w:vMerge w:val="continue"/>
            <w:noWrap w:val="0"/>
            <w:vAlign w:val="center"/>
          </w:tcPr>
          <w:p w14:paraId="53F57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p>
        </w:tc>
        <w:tc>
          <w:tcPr>
            <w:tcW w:w="3401" w:type="dxa"/>
            <w:noWrap w:val="0"/>
            <w:vAlign w:val="center"/>
          </w:tcPr>
          <w:p w14:paraId="23642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培育涉农高新技术</w:t>
            </w:r>
          </w:p>
          <w:p w14:paraId="2B802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企业总数</w:t>
            </w:r>
          </w:p>
        </w:tc>
        <w:tc>
          <w:tcPr>
            <w:tcW w:w="987" w:type="dxa"/>
            <w:noWrap w:val="0"/>
            <w:vAlign w:val="center"/>
          </w:tcPr>
          <w:p w14:paraId="115DE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家</w:t>
            </w:r>
          </w:p>
        </w:tc>
        <w:tc>
          <w:tcPr>
            <w:tcW w:w="1600" w:type="dxa"/>
            <w:noWrap w:val="0"/>
            <w:vAlign w:val="center"/>
          </w:tcPr>
          <w:p w14:paraId="35475901">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03" w:type="dxa"/>
            <w:noWrap w:val="0"/>
            <w:vAlign w:val="center"/>
          </w:tcPr>
          <w:p w14:paraId="63A99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预期性</w:t>
            </w:r>
          </w:p>
        </w:tc>
      </w:tr>
      <w:tr w14:paraId="6C42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28" w:type="dxa"/>
            <w:noWrap w:val="0"/>
            <w:vAlign w:val="center"/>
          </w:tcPr>
          <w:p w14:paraId="62519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1449" w:type="dxa"/>
            <w:vMerge w:val="continue"/>
            <w:noWrap w:val="0"/>
            <w:vAlign w:val="center"/>
          </w:tcPr>
          <w:p w14:paraId="09824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p>
        </w:tc>
        <w:tc>
          <w:tcPr>
            <w:tcW w:w="3401" w:type="dxa"/>
            <w:noWrap w:val="0"/>
            <w:vAlign w:val="center"/>
          </w:tcPr>
          <w:p w14:paraId="34BCD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休闲农业和乡村旅游年接待量</w:t>
            </w:r>
          </w:p>
        </w:tc>
        <w:tc>
          <w:tcPr>
            <w:tcW w:w="987" w:type="dxa"/>
            <w:noWrap w:val="0"/>
            <w:vAlign w:val="center"/>
          </w:tcPr>
          <w:p w14:paraId="73417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万人</w:t>
            </w:r>
          </w:p>
        </w:tc>
        <w:tc>
          <w:tcPr>
            <w:tcW w:w="1600" w:type="dxa"/>
            <w:noWrap w:val="0"/>
            <w:vAlign w:val="center"/>
          </w:tcPr>
          <w:p w14:paraId="28A53C6B">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2"/>
                <w:sz w:val="24"/>
                <w:szCs w:val="24"/>
                <w:highlight w:val="none"/>
                <w:lang w:val="en-US" w:eastAsia="zh-CN" w:bidi="ar-SA"/>
              </w:rPr>
              <w:t>800</w:t>
            </w:r>
          </w:p>
        </w:tc>
        <w:tc>
          <w:tcPr>
            <w:tcW w:w="1203" w:type="dxa"/>
            <w:noWrap w:val="0"/>
            <w:vAlign w:val="center"/>
          </w:tcPr>
          <w:p w14:paraId="61FF9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预期性</w:t>
            </w:r>
          </w:p>
        </w:tc>
      </w:tr>
      <w:tr w14:paraId="4383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28" w:type="dxa"/>
            <w:noWrap w:val="0"/>
            <w:vAlign w:val="center"/>
          </w:tcPr>
          <w:p w14:paraId="370A6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449" w:type="dxa"/>
            <w:vMerge w:val="restart"/>
            <w:noWrap w:val="0"/>
            <w:vAlign w:val="center"/>
          </w:tcPr>
          <w:p w14:paraId="5A5175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乡村建设</w:t>
            </w:r>
          </w:p>
        </w:tc>
        <w:tc>
          <w:tcPr>
            <w:tcW w:w="3401" w:type="dxa"/>
            <w:noWrap w:val="0"/>
            <w:vAlign w:val="center"/>
          </w:tcPr>
          <w:p w14:paraId="34193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宜居宜业和美乡村片区覆盖率</w:t>
            </w:r>
          </w:p>
        </w:tc>
        <w:tc>
          <w:tcPr>
            <w:tcW w:w="987" w:type="dxa"/>
            <w:noWrap w:val="0"/>
            <w:vAlign w:val="center"/>
          </w:tcPr>
          <w:p w14:paraId="713660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600" w:type="dxa"/>
            <w:noWrap w:val="0"/>
            <w:vAlign w:val="center"/>
          </w:tcPr>
          <w:p w14:paraId="08D55642">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2"/>
                <w:sz w:val="24"/>
                <w:szCs w:val="24"/>
                <w:highlight w:val="none"/>
                <w:lang w:val="en-US" w:eastAsia="zh-CN" w:bidi="ar-SA"/>
              </w:rPr>
              <w:t>25</w:t>
            </w:r>
          </w:p>
        </w:tc>
        <w:tc>
          <w:tcPr>
            <w:tcW w:w="1203" w:type="dxa"/>
            <w:noWrap w:val="0"/>
            <w:vAlign w:val="center"/>
          </w:tcPr>
          <w:p w14:paraId="29220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预期性</w:t>
            </w:r>
          </w:p>
        </w:tc>
      </w:tr>
      <w:tr w14:paraId="23F4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28" w:type="dxa"/>
            <w:noWrap w:val="0"/>
            <w:vAlign w:val="center"/>
          </w:tcPr>
          <w:p w14:paraId="22DBE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449" w:type="dxa"/>
            <w:vMerge w:val="continue"/>
            <w:noWrap w:val="0"/>
            <w:vAlign w:val="center"/>
          </w:tcPr>
          <w:p w14:paraId="7038A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sz w:val="24"/>
                <w:szCs w:val="24"/>
                <w:highlight w:val="none"/>
                <w:lang w:val="en-US" w:eastAsia="zh-CN"/>
              </w:rPr>
            </w:pPr>
          </w:p>
        </w:tc>
        <w:tc>
          <w:tcPr>
            <w:tcW w:w="3401" w:type="dxa"/>
            <w:noWrap w:val="0"/>
            <w:vAlign w:val="center"/>
          </w:tcPr>
          <w:p w14:paraId="389055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农村公路提档升级里程</w:t>
            </w:r>
          </w:p>
        </w:tc>
        <w:tc>
          <w:tcPr>
            <w:tcW w:w="987" w:type="dxa"/>
            <w:noWrap w:val="0"/>
            <w:vAlign w:val="center"/>
          </w:tcPr>
          <w:p w14:paraId="2B2A2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公里</w:t>
            </w:r>
          </w:p>
        </w:tc>
        <w:tc>
          <w:tcPr>
            <w:tcW w:w="1600" w:type="dxa"/>
            <w:noWrap w:val="0"/>
            <w:vAlign w:val="center"/>
          </w:tcPr>
          <w:p w14:paraId="6F278CAE">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2"/>
                <w:sz w:val="24"/>
                <w:szCs w:val="24"/>
                <w:highlight w:val="none"/>
                <w:lang w:val="en-US" w:eastAsia="zh-CN" w:bidi="ar-SA"/>
              </w:rPr>
              <w:t>332</w:t>
            </w:r>
          </w:p>
        </w:tc>
        <w:tc>
          <w:tcPr>
            <w:tcW w:w="1203" w:type="dxa"/>
            <w:noWrap w:val="0"/>
            <w:vAlign w:val="center"/>
          </w:tcPr>
          <w:p w14:paraId="62AF3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预期性</w:t>
            </w:r>
          </w:p>
        </w:tc>
      </w:tr>
      <w:tr w14:paraId="6B0D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28" w:type="dxa"/>
            <w:noWrap w:val="0"/>
            <w:vAlign w:val="center"/>
          </w:tcPr>
          <w:p w14:paraId="67B65D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8</w:t>
            </w:r>
          </w:p>
        </w:tc>
        <w:tc>
          <w:tcPr>
            <w:tcW w:w="1449" w:type="dxa"/>
            <w:vMerge w:val="restart"/>
            <w:noWrap w:val="0"/>
            <w:vAlign w:val="center"/>
          </w:tcPr>
          <w:p w14:paraId="55E25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公共服务</w:t>
            </w:r>
          </w:p>
        </w:tc>
        <w:tc>
          <w:tcPr>
            <w:tcW w:w="3401" w:type="dxa"/>
            <w:noWrap w:val="0"/>
            <w:vAlign w:val="center"/>
          </w:tcPr>
          <w:p w14:paraId="6E028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农村居民健康素养水平</w:t>
            </w:r>
          </w:p>
        </w:tc>
        <w:tc>
          <w:tcPr>
            <w:tcW w:w="987" w:type="dxa"/>
            <w:noWrap w:val="0"/>
            <w:vAlign w:val="center"/>
          </w:tcPr>
          <w:p w14:paraId="5E64F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w:t>
            </w:r>
          </w:p>
        </w:tc>
        <w:tc>
          <w:tcPr>
            <w:tcW w:w="1600" w:type="dxa"/>
            <w:noWrap w:val="0"/>
            <w:vAlign w:val="center"/>
          </w:tcPr>
          <w:p w14:paraId="10F7F3D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40</w:t>
            </w:r>
          </w:p>
        </w:tc>
        <w:tc>
          <w:tcPr>
            <w:tcW w:w="1203" w:type="dxa"/>
            <w:noWrap w:val="0"/>
            <w:vAlign w:val="center"/>
          </w:tcPr>
          <w:p w14:paraId="4DAE6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预期性</w:t>
            </w:r>
          </w:p>
        </w:tc>
      </w:tr>
      <w:tr w14:paraId="7C81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828" w:type="dxa"/>
            <w:noWrap w:val="0"/>
            <w:vAlign w:val="center"/>
          </w:tcPr>
          <w:p w14:paraId="2B8AA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9</w:t>
            </w:r>
          </w:p>
        </w:tc>
        <w:tc>
          <w:tcPr>
            <w:tcW w:w="1449" w:type="dxa"/>
            <w:vMerge w:val="continue"/>
            <w:noWrap w:val="0"/>
            <w:vAlign w:val="center"/>
          </w:tcPr>
          <w:p w14:paraId="4E6421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p>
        </w:tc>
        <w:tc>
          <w:tcPr>
            <w:tcW w:w="3401" w:type="dxa"/>
            <w:noWrap w:val="0"/>
            <w:vAlign w:val="center"/>
          </w:tcPr>
          <w:p w14:paraId="32DD4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农村义务教育学校专任教师本科以上学历比例</w:t>
            </w:r>
          </w:p>
        </w:tc>
        <w:tc>
          <w:tcPr>
            <w:tcW w:w="987" w:type="dxa"/>
            <w:noWrap w:val="0"/>
            <w:vAlign w:val="center"/>
          </w:tcPr>
          <w:p w14:paraId="1317A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00" w:type="dxa"/>
            <w:noWrap w:val="0"/>
            <w:vAlign w:val="center"/>
          </w:tcPr>
          <w:p w14:paraId="7083A8D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95</w:t>
            </w:r>
          </w:p>
        </w:tc>
        <w:tc>
          <w:tcPr>
            <w:tcW w:w="1203" w:type="dxa"/>
            <w:noWrap w:val="0"/>
            <w:vAlign w:val="center"/>
          </w:tcPr>
          <w:p w14:paraId="4AF25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预期性</w:t>
            </w:r>
          </w:p>
        </w:tc>
      </w:tr>
      <w:tr w14:paraId="37EC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28" w:type="dxa"/>
            <w:noWrap w:val="0"/>
            <w:vAlign w:val="center"/>
          </w:tcPr>
          <w:p w14:paraId="5D111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449" w:type="dxa"/>
            <w:vMerge w:val="continue"/>
            <w:noWrap w:val="0"/>
            <w:vAlign w:val="center"/>
          </w:tcPr>
          <w:p w14:paraId="32519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p>
        </w:tc>
        <w:tc>
          <w:tcPr>
            <w:tcW w:w="3401" w:type="dxa"/>
            <w:noWrap w:val="0"/>
            <w:vAlign w:val="center"/>
          </w:tcPr>
          <w:p w14:paraId="26BF1911">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家门口养老服务站</w:t>
            </w:r>
          </w:p>
        </w:tc>
        <w:tc>
          <w:tcPr>
            <w:tcW w:w="987" w:type="dxa"/>
            <w:noWrap w:val="0"/>
            <w:vAlign w:val="center"/>
          </w:tcPr>
          <w:p w14:paraId="078278D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个</w:t>
            </w:r>
          </w:p>
        </w:tc>
        <w:tc>
          <w:tcPr>
            <w:tcW w:w="1600" w:type="dxa"/>
            <w:noWrap w:val="0"/>
            <w:vAlign w:val="center"/>
          </w:tcPr>
          <w:p w14:paraId="4A650E71">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100</w:t>
            </w:r>
          </w:p>
        </w:tc>
        <w:tc>
          <w:tcPr>
            <w:tcW w:w="1203" w:type="dxa"/>
            <w:noWrap w:val="0"/>
            <w:vAlign w:val="center"/>
          </w:tcPr>
          <w:p w14:paraId="364E6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预期性</w:t>
            </w:r>
          </w:p>
        </w:tc>
      </w:tr>
      <w:tr w14:paraId="6B87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828" w:type="dxa"/>
            <w:noWrap w:val="0"/>
            <w:vAlign w:val="center"/>
          </w:tcPr>
          <w:p w14:paraId="0BC43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11</w:t>
            </w:r>
          </w:p>
        </w:tc>
        <w:tc>
          <w:tcPr>
            <w:tcW w:w="1449" w:type="dxa"/>
            <w:noWrap w:val="0"/>
            <w:vAlign w:val="center"/>
          </w:tcPr>
          <w:p w14:paraId="39A77A59">
            <w:pPr>
              <w:keepNext w:val="0"/>
              <w:keepLines w:val="0"/>
              <w:pageBreakBefore w:val="0"/>
              <w:widowControl w:val="0"/>
              <w:suppressLineNumbers w:val="0"/>
              <w:tabs>
                <w:tab w:val="left" w:pos="212"/>
              </w:tabs>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乡村治理</w:t>
            </w:r>
          </w:p>
        </w:tc>
        <w:tc>
          <w:tcPr>
            <w:tcW w:w="3401" w:type="dxa"/>
            <w:noWrap w:val="0"/>
            <w:vAlign w:val="center"/>
          </w:tcPr>
          <w:p w14:paraId="31866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村党组织书记本科及以上学历比例</w:t>
            </w:r>
          </w:p>
        </w:tc>
        <w:tc>
          <w:tcPr>
            <w:tcW w:w="987" w:type="dxa"/>
            <w:noWrap w:val="0"/>
            <w:vAlign w:val="center"/>
          </w:tcPr>
          <w:p w14:paraId="30E44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00" w:type="dxa"/>
            <w:noWrap w:val="0"/>
            <w:vAlign w:val="center"/>
          </w:tcPr>
          <w:p w14:paraId="77624E96">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90</w:t>
            </w:r>
          </w:p>
        </w:tc>
        <w:tc>
          <w:tcPr>
            <w:tcW w:w="1203" w:type="dxa"/>
            <w:noWrap w:val="0"/>
            <w:vAlign w:val="center"/>
          </w:tcPr>
          <w:p w14:paraId="55CB4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预期性</w:t>
            </w:r>
          </w:p>
        </w:tc>
      </w:tr>
      <w:tr w14:paraId="1059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28" w:type="dxa"/>
            <w:noWrap w:val="0"/>
            <w:vAlign w:val="center"/>
          </w:tcPr>
          <w:p w14:paraId="26729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12</w:t>
            </w:r>
          </w:p>
        </w:tc>
        <w:tc>
          <w:tcPr>
            <w:tcW w:w="1449" w:type="dxa"/>
            <w:vMerge w:val="restart"/>
            <w:noWrap w:val="0"/>
            <w:vAlign w:val="center"/>
          </w:tcPr>
          <w:p w14:paraId="4890B7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发展增收</w:t>
            </w:r>
          </w:p>
        </w:tc>
        <w:tc>
          <w:tcPr>
            <w:tcW w:w="3401" w:type="dxa"/>
            <w:noWrap w:val="0"/>
            <w:vAlign w:val="center"/>
          </w:tcPr>
          <w:p w14:paraId="4875D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高素质农民培育</w:t>
            </w:r>
          </w:p>
        </w:tc>
        <w:tc>
          <w:tcPr>
            <w:tcW w:w="987" w:type="dxa"/>
            <w:noWrap w:val="0"/>
            <w:vAlign w:val="center"/>
          </w:tcPr>
          <w:p w14:paraId="6E3A4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名</w:t>
            </w:r>
          </w:p>
        </w:tc>
        <w:tc>
          <w:tcPr>
            <w:tcW w:w="1600" w:type="dxa"/>
            <w:noWrap w:val="0"/>
            <w:vAlign w:val="center"/>
          </w:tcPr>
          <w:p w14:paraId="5FDBB3D6">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6769</w:t>
            </w:r>
          </w:p>
        </w:tc>
        <w:tc>
          <w:tcPr>
            <w:tcW w:w="1203" w:type="dxa"/>
            <w:noWrap w:val="0"/>
            <w:vAlign w:val="center"/>
          </w:tcPr>
          <w:p w14:paraId="5A781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预期性</w:t>
            </w:r>
          </w:p>
        </w:tc>
      </w:tr>
      <w:tr w14:paraId="1936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828" w:type="dxa"/>
            <w:noWrap w:val="0"/>
            <w:vAlign w:val="center"/>
          </w:tcPr>
          <w:p w14:paraId="4FEBC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449" w:type="dxa"/>
            <w:vMerge w:val="continue"/>
            <w:noWrap w:val="0"/>
            <w:vAlign w:val="center"/>
          </w:tcPr>
          <w:p w14:paraId="5792B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p>
        </w:tc>
        <w:tc>
          <w:tcPr>
            <w:tcW w:w="3401" w:type="dxa"/>
            <w:noWrap w:val="0"/>
            <w:vAlign w:val="center"/>
          </w:tcPr>
          <w:p w14:paraId="5EEBB8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农村集体总资产增速</w:t>
            </w:r>
          </w:p>
        </w:tc>
        <w:tc>
          <w:tcPr>
            <w:tcW w:w="987" w:type="dxa"/>
            <w:noWrap w:val="0"/>
            <w:vAlign w:val="center"/>
          </w:tcPr>
          <w:p w14:paraId="11F17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00" w:type="dxa"/>
            <w:noWrap w:val="0"/>
            <w:vAlign w:val="center"/>
          </w:tcPr>
          <w:p w14:paraId="7642B054">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不低于全市平均水平</w:t>
            </w:r>
          </w:p>
        </w:tc>
        <w:tc>
          <w:tcPr>
            <w:tcW w:w="1203" w:type="dxa"/>
            <w:noWrap w:val="0"/>
            <w:vAlign w:val="center"/>
          </w:tcPr>
          <w:p w14:paraId="6B2F6038">
            <w:pPr>
              <w:pStyle w:val="2"/>
              <w:jc w:val="center"/>
              <w:rPr>
                <w:rFonts w:hint="eastAsia"/>
                <w:lang w:val="en-US" w:eastAsia="zh-CN"/>
              </w:rPr>
            </w:pPr>
            <w:r>
              <w:rPr>
                <w:rFonts w:hint="eastAsia" w:hAnsi="仿宋_GB2312" w:cs="仿宋_GB2312"/>
                <w:b w:val="0"/>
                <w:bCs/>
                <w:strike w:val="0"/>
                <w:dstrike w:val="0"/>
                <w:color w:val="auto"/>
                <w:sz w:val="24"/>
                <w:szCs w:val="24"/>
                <w:highlight w:val="none"/>
                <w:lang w:val="en-US" w:eastAsia="zh-CN"/>
              </w:rPr>
              <w:t>预期性</w:t>
            </w:r>
          </w:p>
        </w:tc>
      </w:tr>
      <w:tr w14:paraId="3D88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28" w:type="dxa"/>
            <w:noWrap w:val="0"/>
            <w:vAlign w:val="center"/>
          </w:tcPr>
          <w:p w14:paraId="1AD8A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449" w:type="dxa"/>
            <w:vMerge w:val="continue"/>
            <w:noWrap w:val="0"/>
            <w:vAlign w:val="center"/>
          </w:tcPr>
          <w:p w14:paraId="17083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p>
        </w:tc>
        <w:tc>
          <w:tcPr>
            <w:tcW w:w="3401" w:type="dxa"/>
            <w:noWrap w:val="0"/>
            <w:vAlign w:val="center"/>
          </w:tcPr>
          <w:p w14:paraId="22AB4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城乡居民人均可支配收入比</w:t>
            </w:r>
          </w:p>
        </w:tc>
        <w:tc>
          <w:tcPr>
            <w:tcW w:w="987" w:type="dxa"/>
            <w:noWrap w:val="0"/>
            <w:vAlign w:val="center"/>
          </w:tcPr>
          <w:p w14:paraId="21FB6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600" w:type="dxa"/>
            <w:noWrap w:val="0"/>
            <w:vAlign w:val="center"/>
          </w:tcPr>
          <w:p w14:paraId="4786A81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1.60</w:t>
            </w:r>
          </w:p>
        </w:tc>
        <w:tc>
          <w:tcPr>
            <w:tcW w:w="1203" w:type="dxa"/>
            <w:noWrap w:val="0"/>
            <w:vAlign w:val="center"/>
          </w:tcPr>
          <w:p w14:paraId="1B522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预期性</w:t>
            </w:r>
          </w:p>
        </w:tc>
      </w:tr>
      <w:tr w14:paraId="6CEC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828" w:type="dxa"/>
            <w:noWrap w:val="0"/>
            <w:vAlign w:val="center"/>
          </w:tcPr>
          <w:p w14:paraId="4DBF0C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1449" w:type="dxa"/>
            <w:vMerge w:val="continue"/>
            <w:noWrap w:val="0"/>
            <w:vAlign w:val="center"/>
          </w:tcPr>
          <w:p w14:paraId="2FA89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p>
        </w:tc>
        <w:tc>
          <w:tcPr>
            <w:tcW w:w="3401" w:type="dxa"/>
            <w:noWrap w:val="0"/>
            <w:vAlign w:val="center"/>
          </w:tcPr>
          <w:p w14:paraId="12BDEB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农村居民可支配收入</w:t>
            </w:r>
          </w:p>
        </w:tc>
        <w:tc>
          <w:tcPr>
            <w:tcW w:w="987" w:type="dxa"/>
            <w:noWrap w:val="0"/>
            <w:vAlign w:val="center"/>
          </w:tcPr>
          <w:p w14:paraId="34E65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元</w:t>
            </w:r>
          </w:p>
        </w:tc>
        <w:tc>
          <w:tcPr>
            <w:tcW w:w="1600" w:type="dxa"/>
            <w:noWrap w:val="0"/>
            <w:vAlign w:val="center"/>
          </w:tcPr>
          <w:p w14:paraId="6C15E11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不低于经济增长水平</w:t>
            </w:r>
          </w:p>
        </w:tc>
        <w:tc>
          <w:tcPr>
            <w:tcW w:w="1203" w:type="dxa"/>
            <w:noWrap w:val="0"/>
            <w:vAlign w:val="center"/>
          </w:tcPr>
          <w:p w14:paraId="1486B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预期性</w:t>
            </w:r>
          </w:p>
        </w:tc>
      </w:tr>
    </w:tbl>
    <w:p w14:paraId="36944C4F">
      <w:pPr>
        <w:keepNext w:val="0"/>
        <w:keepLines w:val="0"/>
        <w:pageBreakBefore w:val="0"/>
        <w:widowControl w:val="0"/>
        <w:numPr>
          <w:ilvl w:val="0"/>
          <w:numId w:val="0"/>
        </w:numPr>
        <w:shd w:val="clear" w:color="auto" w:fill="auto"/>
        <w:kinsoku/>
        <w:wordWrap/>
        <w:overflowPunct/>
        <w:topLinePunct w:val="0"/>
        <w:autoSpaceDE/>
        <w:autoSpaceDN/>
        <w:bidi w:val="0"/>
        <w:adjustRightInd/>
        <w:spacing w:beforeAutospacing="0" w:afterAutospacing="0" w:line="560" w:lineRule="exact"/>
        <w:ind w:right="0" w:firstLine="640" w:firstLineChars="200"/>
        <w:jc w:val="both"/>
        <w:textAlignment w:val="auto"/>
        <w:outlineLvl w:val="0"/>
        <w:rPr>
          <w:rFonts w:hint="eastAsia" w:ascii="黑体" w:hAnsi="黑体" w:eastAsia="黑体" w:cs="黑体"/>
          <w:bCs/>
          <w:color w:val="auto"/>
          <w:sz w:val="32"/>
          <w:szCs w:val="32"/>
          <w:highlight w:val="none"/>
          <w:lang w:val="en-US" w:eastAsia="zh-CN"/>
        </w:rPr>
      </w:pPr>
    </w:p>
    <w:p w14:paraId="48F7CBDE">
      <w:pPr>
        <w:keepNext w:val="0"/>
        <w:keepLines w:val="0"/>
        <w:pageBreakBefore w:val="0"/>
        <w:widowControl w:val="0"/>
        <w:numPr>
          <w:ilvl w:val="0"/>
          <w:numId w:val="0"/>
        </w:numPr>
        <w:shd w:val="clear" w:color="auto" w:fill="auto"/>
        <w:kinsoku/>
        <w:wordWrap/>
        <w:overflowPunct/>
        <w:topLinePunct w:val="0"/>
        <w:autoSpaceDE/>
        <w:autoSpaceDN/>
        <w:bidi w:val="0"/>
        <w:adjustRightInd/>
        <w:spacing w:beforeAutospacing="0" w:afterAutospacing="0" w:line="560" w:lineRule="exact"/>
        <w:ind w:right="0" w:firstLine="640" w:firstLineChars="200"/>
        <w:jc w:val="both"/>
        <w:textAlignment w:val="auto"/>
        <w:outlineLvl w:val="0"/>
        <w:rPr>
          <w:rFonts w:hint="eastAsia" w:ascii="黑体" w:hAnsi="黑体" w:eastAsia="黑体" w:cs="黑体"/>
          <w:bCs/>
          <w:color w:val="auto"/>
          <w:sz w:val="32"/>
          <w:szCs w:val="32"/>
          <w:highlight w:val="none"/>
          <w:lang w:val="en-US" w:eastAsia="zh-CN"/>
        </w:rPr>
      </w:pPr>
    </w:p>
    <w:p w14:paraId="03F29953">
      <w:pPr>
        <w:keepNext w:val="0"/>
        <w:keepLines w:val="0"/>
        <w:pageBreakBefore w:val="0"/>
        <w:widowControl w:val="0"/>
        <w:numPr>
          <w:ilvl w:val="0"/>
          <w:numId w:val="0"/>
        </w:numPr>
        <w:shd w:val="clear" w:color="auto" w:fill="auto"/>
        <w:kinsoku/>
        <w:wordWrap/>
        <w:overflowPunct/>
        <w:topLinePunct w:val="0"/>
        <w:autoSpaceDE/>
        <w:autoSpaceDN/>
        <w:bidi w:val="0"/>
        <w:adjustRightInd/>
        <w:spacing w:beforeAutospacing="0" w:afterAutospacing="0" w:line="560" w:lineRule="exact"/>
        <w:ind w:right="0" w:firstLine="640" w:firstLineChars="200"/>
        <w:jc w:val="both"/>
        <w:textAlignment w:val="auto"/>
        <w:outlineLvl w:val="0"/>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四、主要任务</w:t>
      </w:r>
    </w:p>
    <w:p w14:paraId="7E0F405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（一）强化科技创新引领，打造长三角现代农业新高地</w:t>
      </w:r>
    </w:p>
    <w:p w14:paraId="0B7936A5">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加快提升崇明农业现代化水平，持续推动长三角农业硅谷建设，紧扣产业发展需求，深耕农业领域新赛道，加大农业科技创新力度，大力培育农业新质生产力，持续推动现代农业提质增效、转型升级。</w:t>
      </w:r>
    </w:p>
    <w:p w14:paraId="689DD4A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1.打造农业创新创业高地</w:t>
      </w:r>
    </w:p>
    <w:p w14:paraId="3CEFDD4E">
      <w:pPr>
        <w:keepNext w:val="0"/>
        <w:keepLines w:val="0"/>
        <w:pageBreakBefore w:val="0"/>
        <w:widowControl w:val="0"/>
        <w:kinsoku/>
        <w:wordWrap/>
        <w:overflowPunct/>
        <w:topLinePunct w:val="0"/>
        <w:autoSpaceDE/>
        <w:autoSpaceDN/>
        <w:bidi w:val="0"/>
        <w:adjustRightInd/>
        <w:spacing w:line="560" w:lineRule="exact"/>
        <w:ind w:right="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深化农业科创布局。</w:t>
      </w:r>
      <w:r>
        <w:rPr>
          <w:rFonts w:hint="eastAsia" w:ascii="仿宋_GB2312" w:hAnsi="仿宋_GB2312" w:eastAsia="仿宋_GB2312" w:cs="仿宋_GB2312"/>
          <w:color w:val="auto"/>
          <w:sz w:val="32"/>
          <w:szCs w:val="32"/>
          <w:highlight w:val="none"/>
          <w:lang w:val="en-US" w:eastAsia="zh-CN"/>
        </w:rPr>
        <w:t>以“立足长三角，服务全中国”为目标，锚定农业现代化发展方向，</w:t>
      </w:r>
      <w:r>
        <w:rPr>
          <w:rFonts w:hint="eastAsia" w:ascii="仿宋_GB2312" w:hAnsi="仿宋_GB2312" w:eastAsia="仿宋_GB2312" w:cs="仿宋_GB2312"/>
          <w:color w:val="auto"/>
          <w:sz w:val="32"/>
          <w:szCs w:val="32"/>
          <w:highlight w:val="none"/>
        </w:rPr>
        <w:t>到2030年，建成具有国际影响力的长三角农业硅谷</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i w:val="0"/>
          <w:iCs w:val="0"/>
          <w:color w:val="auto"/>
          <w:sz w:val="32"/>
          <w:szCs w:val="32"/>
          <w:highlight w:val="none"/>
          <w:lang w:val="en-US" w:eastAsia="zh-CN"/>
        </w:rPr>
        <w:t>形成集高端科研、成果转化、企业孵化、长三角协同创新于一体的</w:t>
      </w:r>
      <w:r>
        <w:rPr>
          <w:rFonts w:hint="eastAsia" w:ascii="仿宋_GB2312" w:hAnsi="仿宋_GB2312" w:eastAsia="仿宋_GB2312" w:cs="仿宋_GB2312"/>
          <w:i w:val="0"/>
          <w:iCs w:val="0"/>
          <w:color w:val="auto"/>
          <w:sz w:val="32"/>
          <w:szCs w:val="32"/>
          <w:highlight w:val="none"/>
          <w:lang w:val="en-US" w:eastAsia="zh-CN"/>
        </w:rPr>
        <w:t>农业创新创业高地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形成</w:t>
      </w:r>
      <w:r>
        <w:rPr>
          <w:rFonts w:hint="eastAsia" w:ascii="仿宋_GB2312" w:hAnsi="仿宋_GB2312" w:eastAsia="仿宋_GB2312" w:cs="仿宋_GB2312"/>
          <w:color w:val="auto"/>
          <w:sz w:val="32"/>
          <w:szCs w:val="32"/>
          <w:highlight w:val="none"/>
          <w:lang w:eastAsia="zh-CN"/>
        </w:rPr>
        <w:t>一批</w:t>
      </w:r>
      <w:r>
        <w:rPr>
          <w:rFonts w:hint="eastAsia" w:ascii="仿宋_GB2312" w:hAnsi="仿宋_GB2312" w:eastAsia="仿宋_GB2312" w:cs="仿宋_GB2312"/>
          <w:color w:val="auto"/>
          <w:sz w:val="32"/>
          <w:szCs w:val="32"/>
          <w:highlight w:val="none"/>
          <w:lang w:val="en-US" w:eastAsia="zh-CN"/>
        </w:rPr>
        <w:t>在全国</w:t>
      </w:r>
      <w:r>
        <w:rPr>
          <w:rFonts w:hint="eastAsia" w:ascii="仿宋_GB2312" w:hAnsi="仿宋_GB2312" w:eastAsia="仿宋_GB2312" w:cs="仿宋_GB2312"/>
          <w:color w:val="auto"/>
          <w:sz w:val="32"/>
          <w:szCs w:val="32"/>
          <w:highlight w:val="none"/>
          <w:lang w:eastAsia="zh-CN"/>
        </w:rPr>
        <w:t>可复制、可推广的现代农业技术模式和解决方案。</w:t>
      </w:r>
      <w:r>
        <w:rPr>
          <w:rFonts w:hint="eastAsia" w:ascii="仿宋_GB2312" w:hAnsi="仿宋_GB2312" w:eastAsia="仿宋_GB2312" w:cs="仿宋_GB2312"/>
          <w:color w:val="auto"/>
          <w:sz w:val="32"/>
          <w:szCs w:val="32"/>
          <w:highlight w:val="none"/>
          <w:lang w:val="en-US" w:eastAsia="zh-CN"/>
        </w:rPr>
        <w:t>完善长三角农业硅谷“一核一带两区”</w:t>
      </w:r>
      <w:r>
        <w:rPr>
          <w:rStyle w:val="15"/>
          <w:rFonts w:hint="eastAsia" w:ascii="仿宋_GB2312" w:hAnsi="仿宋_GB2312" w:eastAsia="仿宋_GB2312" w:cs="仿宋_GB2312"/>
          <w:color w:val="auto"/>
          <w:sz w:val="32"/>
          <w:szCs w:val="32"/>
          <w:highlight w:val="none"/>
          <w:lang w:val="en-US" w:eastAsia="zh-CN"/>
        </w:rPr>
        <w:footnoteReference w:id="0"/>
      </w:r>
      <w:r>
        <w:rPr>
          <w:rFonts w:hint="eastAsia" w:ascii="仿宋_GB2312" w:hAnsi="仿宋_GB2312" w:eastAsia="仿宋_GB2312" w:cs="仿宋_GB2312"/>
          <w:color w:val="auto"/>
          <w:sz w:val="32"/>
          <w:szCs w:val="32"/>
          <w:highlight w:val="none"/>
          <w:lang w:val="en-US" w:eastAsia="zh-CN"/>
        </w:rPr>
        <w:t>整体布局，将核心区作为农业创新策源地，推动产业项目向高科技农业发展带集聚，以现代设施农业片区、现代畜禽养殖产业片区建设为抓手，打造现代农业先行片区，构建崇明现代农业高质量发展新格局。长三角农业硅谷内率先实现碳中和，为全国实现碳达峰碳中和发挥示范作用，探索建设成为低碳经济和生活的试点先行区。</w:t>
      </w:r>
    </w:p>
    <w:p w14:paraId="692E8769">
      <w:pPr>
        <w:keepNext w:val="0"/>
        <w:keepLines w:val="0"/>
        <w:pageBreakBefore w:val="0"/>
        <w:widowControl w:val="0"/>
        <w:kinsoku/>
        <w:wordWrap/>
        <w:overflowPunct/>
        <w:topLinePunct w:val="0"/>
        <w:autoSpaceDE/>
        <w:autoSpaceDN/>
        <w:bidi w:val="0"/>
        <w:adjustRightInd/>
        <w:spacing w:line="560" w:lineRule="exact"/>
        <w:ind w:right="0"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做强</w:t>
      </w:r>
      <w:r>
        <w:rPr>
          <w:rFonts w:hint="eastAsia" w:ascii="仿宋_GB2312" w:hAnsi="仿宋_GB2312" w:eastAsia="仿宋_GB2312" w:cs="仿宋_GB2312"/>
          <w:b/>
          <w:bCs/>
          <w:color w:val="auto"/>
          <w:sz w:val="32"/>
          <w:szCs w:val="32"/>
          <w:highlight w:val="none"/>
        </w:rPr>
        <w:t>长三角农业硅谷</w:t>
      </w:r>
      <w:r>
        <w:rPr>
          <w:rFonts w:hint="eastAsia" w:ascii="仿宋_GB2312" w:hAnsi="仿宋_GB2312" w:eastAsia="仿宋_GB2312" w:cs="仿宋_GB2312"/>
          <w:b/>
          <w:bCs/>
          <w:color w:val="auto"/>
          <w:sz w:val="32"/>
          <w:szCs w:val="32"/>
          <w:highlight w:val="none"/>
          <w:lang w:val="en-US" w:eastAsia="zh-CN"/>
        </w:rPr>
        <w:t>核心区功能。</w:t>
      </w:r>
      <w:r>
        <w:rPr>
          <w:rFonts w:hint="eastAsia" w:ascii="仿宋_GB2312" w:hAnsi="仿宋_GB2312" w:eastAsia="仿宋_GB2312" w:cs="仿宋_GB2312"/>
          <w:color w:val="auto"/>
          <w:sz w:val="32"/>
          <w:szCs w:val="32"/>
          <w:highlight w:val="none"/>
          <w:lang w:eastAsia="zh-CN"/>
        </w:rPr>
        <w:t>推动硅谷核心区建设运营，</w:t>
      </w:r>
      <w:r>
        <w:rPr>
          <w:rFonts w:hint="eastAsia" w:ascii="仿宋_GB2312" w:hAnsi="仿宋_GB2312" w:eastAsia="仿宋_GB2312" w:cs="仿宋_GB2312"/>
          <w:color w:val="auto"/>
          <w:sz w:val="32"/>
          <w:szCs w:val="32"/>
          <w:highlight w:val="none"/>
          <w:lang w:val="en-US" w:eastAsia="zh-CN"/>
        </w:rPr>
        <w:t>深耕种源农业、生物农业、设施农业三大赛道，聚焦</w:t>
      </w:r>
      <w:r>
        <w:rPr>
          <w:rFonts w:hint="eastAsia" w:ascii="仿宋_GB2312" w:hAnsi="仿宋_GB2312" w:eastAsia="仿宋_GB2312" w:cs="仿宋_GB2312"/>
          <w:color w:val="auto"/>
          <w:sz w:val="32"/>
          <w:szCs w:val="32"/>
          <w:highlight w:val="none"/>
          <w:lang w:eastAsia="zh-CN"/>
        </w:rPr>
        <w:t>企业孵化、科技研发、试验示范、成果转化、政策保障、学术峰会等功能，</w:t>
      </w:r>
      <w:r>
        <w:rPr>
          <w:rFonts w:hint="eastAsia" w:ascii="仿宋_GB2312" w:hAnsi="仿宋_GB2312" w:eastAsia="仿宋_GB2312" w:cs="仿宋_GB2312"/>
          <w:color w:val="auto"/>
          <w:sz w:val="32"/>
          <w:szCs w:val="32"/>
          <w:highlight w:val="none"/>
          <w:lang w:val="en-US" w:eastAsia="zh-CN"/>
        </w:rPr>
        <w:t>形成</w:t>
      </w:r>
      <w:r>
        <w:rPr>
          <w:rFonts w:hint="eastAsia" w:ascii="仿宋_GB2312" w:hAnsi="仿宋_GB2312" w:eastAsia="仿宋_GB2312" w:cs="仿宋_GB2312"/>
          <w:color w:val="auto"/>
          <w:sz w:val="32"/>
          <w:szCs w:val="32"/>
          <w:highlight w:val="none"/>
          <w:lang w:eastAsia="zh-CN"/>
        </w:rPr>
        <w:t>农业科创“政产学研用”一体化发展空间。完善农业科技创新服务体系</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i w:val="0"/>
          <w:iCs w:val="0"/>
          <w:caps w:val="0"/>
          <w:color w:val="auto"/>
          <w:spacing w:val="0"/>
          <w:kern w:val="2"/>
          <w:sz w:val="32"/>
          <w:szCs w:val="32"/>
          <w:highlight w:val="none"/>
          <w:lang w:val="en-US" w:eastAsia="zh-CN" w:bidi="ar"/>
        </w:rPr>
        <w:t>提供科技研发、成果转化、企业发展等全方位一站式服务，</w:t>
      </w:r>
      <w:r>
        <w:rPr>
          <w:rFonts w:hint="eastAsia" w:ascii="仿宋_GB2312" w:hAnsi="仿宋_GB2312" w:eastAsia="仿宋_GB2312" w:cs="仿宋_GB2312"/>
          <w:color w:val="auto"/>
          <w:sz w:val="32"/>
          <w:szCs w:val="32"/>
          <w:highlight w:val="none"/>
          <w:lang w:val="en-US" w:eastAsia="zh-CN"/>
        </w:rPr>
        <w:t>保障长三角农业硅谷高效运行。</w:t>
      </w:r>
    </w:p>
    <w:p w14:paraId="57DEEC5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加快高科技农业发展带建设。</w:t>
      </w:r>
      <w:r>
        <w:rPr>
          <w:rFonts w:hint="eastAsia" w:ascii="仿宋_GB2312" w:hAnsi="仿宋_GB2312" w:eastAsia="仿宋_GB2312" w:cs="仿宋_GB2312"/>
          <w:color w:val="auto"/>
          <w:sz w:val="32"/>
          <w:szCs w:val="32"/>
          <w:highlight w:val="none"/>
          <w:lang w:val="en-US" w:eastAsia="zh-CN"/>
        </w:rPr>
        <w:t>以陈海公路、生态大道为发展轴线，纵向打造一批创新要素聚集、新兴产业密集、高端人才汇集的高科技农业发展带，集中展示、示范、推广长三角农业硅谷农业科创成果。加快首条高科技农业发展带建设，同步推进生物农业产业带、数字农业产业带、种源农业产业带、“三产融合”产业带等建设，构建多元化产业格局，形成多点联动、协同发展新态势。整合高校、科研院所、涉农企业资源，围绕发展带需求，开展智慧种业、智能装备、生物制剂、数字农业等关键技术研究，加速科研成果在发展带上的转化应用，形成全链条科技支撑和创新动力。</w:t>
      </w:r>
    </w:p>
    <w:p w14:paraId="45B6DA92">
      <w:pPr>
        <w:keepNext w:val="0"/>
        <w:keepLines w:val="0"/>
        <w:pageBreakBefore w:val="0"/>
        <w:widowControl w:val="0"/>
        <w:kinsoku/>
        <w:wordWrap/>
        <w:overflowPunct/>
        <w:topLinePunct w:val="0"/>
        <w:autoSpaceDE/>
        <w:autoSpaceDN/>
        <w:bidi w:val="0"/>
        <w:adjustRightInd/>
        <w:spacing w:line="560" w:lineRule="exact"/>
        <w:ind w:right="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打造现代农业先行片区。</w:t>
      </w:r>
      <w:r>
        <w:rPr>
          <w:rFonts w:hint="eastAsia" w:ascii="仿宋_GB2312" w:hAnsi="仿宋_GB2312" w:eastAsia="仿宋_GB2312" w:cs="仿宋_GB2312"/>
          <w:b w:val="0"/>
          <w:bCs w:val="0"/>
          <w:color w:val="auto"/>
          <w:sz w:val="32"/>
          <w:szCs w:val="32"/>
          <w:highlight w:val="none"/>
          <w:lang w:val="en-US" w:eastAsia="zh-CN"/>
        </w:rPr>
        <w:t>深化现代设施农业片区建设，承接长三角农业硅谷溢出效应，以现代农业园区为基础，重点围绕高端设施蔬菜、工厂化食用菌种植、工厂化水产养殖等产业，建设规模化设施农业引领示范基地，打造现代设施农业集聚区、示范区；探索建立农产品加工产业链，以上海绿色中央厨房建设为核心，围绕绿色食品、有机食品等领域，发展食品加工区，建成具有较强竞争力的食品加工示范基地；</w:t>
      </w:r>
      <w:r>
        <w:rPr>
          <w:rFonts w:hint="eastAsia" w:ascii="仿宋_GB2312" w:hAnsi="仿宋_GB2312" w:eastAsia="仿宋_GB2312" w:cs="仿宋_GB2312"/>
          <w:color w:val="auto"/>
          <w:sz w:val="32"/>
          <w:szCs w:val="32"/>
          <w:highlight w:val="none"/>
          <w:lang w:val="en-US" w:eastAsia="zh-CN"/>
        </w:rPr>
        <w:t>建设“零碳、零污染”现代设施农业样板区，实施温室大棚节能改造行动，因地制宜推广激光补光、地源热泵等技术，探索光伏、风电、地热能等清洁能源利用模式。加快</w:t>
      </w:r>
      <w:r>
        <w:rPr>
          <w:rFonts w:hint="eastAsia" w:ascii="仿宋_GB2312" w:hAnsi="仿宋_GB2312" w:eastAsia="仿宋_GB2312" w:cs="仿宋_GB2312"/>
          <w:color w:val="auto"/>
          <w:sz w:val="32"/>
          <w:szCs w:val="32"/>
          <w:highlight w:val="none"/>
        </w:rPr>
        <w:t>现代畜禽养殖产业片区</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以正大</w:t>
      </w:r>
      <w:r>
        <w:rPr>
          <w:rFonts w:hint="eastAsia" w:ascii="仿宋_GB2312" w:hAnsi="仿宋_GB2312" w:eastAsia="仿宋_GB2312" w:cs="仿宋_GB2312"/>
          <w:color w:val="auto"/>
          <w:sz w:val="32"/>
          <w:szCs w:val="32"/>
          <w:highlight w:val="none"/>
          <w:lang w:val="en-US" w:eastAsia="zh-CN"/>
        </w:rPr>
        <w:t>蛋鸡</w:t>
      </w:r>
      <w:r>
        <w:rPr>
          <w:rFonts w:hint="eastAsia" w:ascii="仿宋_GB2312" w:hAnsi="仿宋_GB2312" w:eastAsia="仿宋_GB2312" w:cs="仿宋_GB2312"/>
          <w:color w:val="auto"/>
          <w:sz w:val="32"/>
          <w:szCs w:val="32"/>
          <w:highlight w:val="none"/>
        </w:rPr>
        <w:t>场等规模化养殖企业为核心，探索形成生态绿色种养循环、减污降碳协同控制</w:t>
      </w:r>
      <w:r>
        <w:rPr>
          <w:rFonts w:hint="eastAsia" w:ascii="仿宋_GB2312" w:hAnsi="仿宋_GB2312" w:eastAsia="仿宋_GB2312" w:cs="仿宋_GB2312"/>
          <w:color w:val="auto"/>
          <w:sz w:val="32"/>
          <w:szCs w:val="32"/>
          <w:highlight w:val="none"/>
          <w:lang w:val="en-US" w:eastAsia="zh-CN"/>
        </w:rPr>
        <w:t>于</w:t>
      </w:r>
      <w:r>
        <w:rPr>
          <w:rFonts w:hint="eastAsia" w:ascii="仿宋_GB2312" w:hAnsi="仿宋_GB2312" w:eastAsia="仿宋_GB2312" w:cs="仿宋_GB2312"/>
          <w:color w:val="auto"/>
          <w:sz w:val="32"/>
          <w:szCs w:val="32"/>
          <w:highlight w:val="none"/>
        </w:rPr>
        <w:t>一体的畜禽养殖发展模式</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拓展现代畜禽养殖产业片区产业链条，构建养殖生产、精深加工、科普研学于一体的全产业链运营体系，推动多元化、高端化产业形态升级。</w:t>
      </w:r>
    </w:p>
    <w:p w14:paraId="55D11E56">
      <w:pPr>
        <w:keepNext w:val="0"/>
        <w:keepLines w:val="0"/>
        <w:pageBreakBefore w:val="0"/>
        <w:widowControl w:val="0"/>
        <w:numPr>
          <w:ilvl w:val="0"/>
          <w:numId w:val="0"/>
        </w:numPr>
        <w:kinsoku/>
        <w:wordWrap/>
        <w:overflowPunct/>
        <w:topLinePunct w:val="0"/>
        <w:autoSpaceDE/>
        <w:autoSpaceDN/>
        <w:bidi w:val="0"/>
        <w:adjustRightInd/>
        <w:spacing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2.健全农业科技创新体系</w:t>
      </w:r>
    </w:p>
    <w:p w14:paraId="092BAB39">
      <w:pPr>
        <w:pStyle w:val="5"/>
        <w:keepNext w:val="0"/>
        <w:keepLines w:val="0"/>
        <w:pageBreakBefore w:val="0"/>
        <w:widowControl w:val="0"/>
        <w:kinsoku/>
        <w:wordWrap/>
        <w:overflowPunct/>
        <w:topLinePunct w:val="0"/>
        <w:autoSpaceDE/>
        <w:autoSpaceDN/>
        <w:bidi w:val="0"/>
        <w:adjustRightInd/>
        <w:spacing w:line="560" w:lineRule="exact"/>
        <w:ind w:right="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强化创新协同机制。</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val="en-US" w:eastAsia="zh-CN" w:bidi="ar-SA"/>
        </w:rPr>
        <w:t>推进</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研产用推一体化，</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val="en-US" w:eastAsia="zh-CN" w:bidi="ar-SA"/>
        </w:rPr>
        <w:t>探索</w:t>
      </w:r>
      <w:r>
        <w:rPr>
          <w:rFonts w:hint="eastAsia" w:ascii="仿宋_GB2312" w:hAnsi="仿宋_GB2312" w:eastAsia="仿宋_GB2312" w:cs="仿宋_GB2312"/>
          <w:b w:val="0"/>
          <w:bCs w:val="0"/>
          <w:color w:val="auto"/>
          <w:sz w:val="32"/>
          <w:szCs w:val="32"/>
          <w:highlight w:val="none"/>
          <w:lang w:bidi="ar-SA"/>
        </w:rPr>
        <w:t>合成生物学、人工智能、大数据等前沿交叉学科在</w:t>
      </w:r>
      <w:r>
        <w:rPr>
          <w:rFonts w:hint="eastAsia" w:ascii="仿宋_GB2312" w:hAnsi="仿宋_GB2312" w:eastAsia="仿宋_GB2312" w:cs="仿宋_GB2312"/>
          <w:b w:val="0"/>
          <w:bCs w:val="0"/>
          <w:color w:val="auto"/>
          <w:sz w:val="32"/>
          <w:szCs w:val="32"/>
          <w:highlight w:val="none"/>
          <w:lang w:val="en-US" w:eastAsia="zh-CN" w:bidi="ar-SA"/>
        </w:rPr>
        <w:t>农业</w:t>
      </w:r>
      <w:r>
        <w:rPr>
          <w:rFonts w:hint="eastAsia" w:ascii="仿宋_GB2312" w:hAnsi="仿宋_GB2312" w:eastAsia="仿宋_GB2312" w:cs="仿宋_GB2312"/>
          <w:b w:val="0"/>
          <w:bCs w:val="0"/>
          <w:color w:val="auto"/>
          <w:sz w:val="32"/>
          <w:szCs w:val="32"/>
          <w:highlight w:val="none"/>
          <w:lang w:bidi="ar-SA"/>
        </w:rPr>
        <w:t>领域的</w:t>
      </w:r>
      <w:r>
        <w:rPr>
          <w:rFonts w:hint="eastAsia" w:ascii="仿宋_GB2312" w:hAnsi="仿宋_GB2312" w:eastAsia="仿宋_GB2312" w:cs="仿宋_GB2312"/>
          <w:b w:val="0"/>
          <w:bCs w:val="0"/>
          <w:color w:val="auto"/>
          <w:sz w:val="32"/>
          <w:szCs w:val="32"/>
          <w:highlight w:val="none"/>
          <w:lang w:val="en-US" w:eastAsia="zh-CN" w:bidi="ar-SA"/>
        </w:rPr>
        <w:t>研发</w:t>
      </w:r>
      <w:r>
        <w:rPr>
          <w:rFonts w:hint="eastAsia" w:ascii="仿宋_GB2312" w:hAnsi="仿宋_GB2312" w:eastAsia="仿宋_GB2312" w:cs="仿宋_GB2312"/>
          <w:b w:val="0"/>
          <w:bCs w:val="0"/>
          <w:color w:val="auto"/>
          <w:sz w:val="32"/>
          <w:szCs w:val="32"/>
          <w:highlight w:val="none"/>
          <w:lang w:bidi="ar-SA"/>
        </w:rPr>
        <w:t>应用</w:t>
      </w:r>
      <w:r>
        <w:rPr>
          <w:rFonts w:hint="eastAsia" w:ascii="仿宋_GB2312" w:hAnsi="仿宋_GB2312" w:eastAsia="仿宋_GB2312" w:cs="仿宋_GB2312"/>
          <w:b w:val="0"/>
          <w:bCs w:val="0"/>
          <w:color w:val="auto"/>
          <w:sz w:val="32"/>
          <w:szCs w:val="32"/>
          <w:highlight w:val="none"/>
          <w:lang w:eastAsia="zh-CN" w:bidi="ar-SA"/>
        </w:rPr>
        <w:t>。加快前沿技术突破，</w:t>
      </w:r>
      <w:r>
        <w:rPr>
          <w:rFonts w:hint="eastAsia" w:ascii="仿宋_GB2312" w:hAnsi="仿宋_GB2312" w:eastAsia="仿宋_GB2312" w:cs="仿宋_GB2312"/>
          <w:b w:val="0"/>
          <w:bCs w:val="0"/>
          <w:color w:val="auto"/>
          <w:sz w:val="32"/>
          <w:szCs w:val="32"/>
          <w:highlight w:val="none"/>
          <w:lang w:val="en-US" w:eastAsia="zh-CN"/>
        </w:rPr>
        <w:t>加强应用基础研究、共性技术创新、重大新品种和产品创制，在新品种培育、投入品创制、农业装备研发等重点领域和关键环节形成一批具有知识产权的标志性原创、首创技术成果。</w:t>
      </w:r>
      <w:r>
        <w:rPr>
          <w:rFonts w:hint="eastAsia" w:ascii="仿宋_GB2312" w:hAnsi="仿宋_GB2312" w:eastAsia="仿宋_GB2312" w:cs="仿宋_GB2312"/>
          <w:b w:val="0"/>
          <w:bCs w:val="0"/>
          <w:color w:val="auto"/>
          <w:kern w:val="2"/>
          <w:sz w:val="32"/>
          <w:szCs w:val="32"/>
          <w:highlight w:val="none"/>
          <w:lang w:val="en-US" w:eastAsia="zh-CN" w:bidi="ar-SA"/>
        </w:rPr>
        <w:t>支持开展联合协同攻关，依托全国及长三角高校科研机构，成立长三角农业研究中心，落实</w:t>
      </w:r>
      <w:r>
        <w:rPr>
          <w:rFonts w:hint="eastAsia" w:ascii="仿宋_GB2312" w:hAnsi="仿宋_GB2312" w:eastAsia="仿宋_GB2312" w:cs="仿宋_GB2312"/>
          <w:b w:val="0"/>
          <w:bCs w:val="0"/>
          <w:color w:val="auto"/>
          <w:sz w:val="32"/>
          <w:szCs w:val="32"/>
          <w:highlight w:val="none"/>
          <w:lang w:val="en-US" w:eastAsia="zh-CN"/>
        </w:rPr>
        <w:t>“企业出题”</w:t>
      </w:r>
      <w:r>
        <w:rPr>
          <w:rFonts w:hint="eastAsia" w:ascii="仿宋_GB2312" w:hAnsi="仿宋_GB2312" w:eastAsia="仿宋_GB2312" w:cs="仿宋_GB2312"/>
          <w:b w:val="0"/>
          <w:bCs w:val="0"/>
          <w:color w:val="auto"/>
          <w:kern w:val="2"/>
          <w:sz w:val="32"/>
          <w:szCs w:val="32"/>
          <w:highlight w:val="none"/>
          <w:lang w:val="en-US" w:eastAsia="zh-CN" w:bidi="ar-SA"/>
        </w:rPr>
        <w:t>“揭榜挂帅”“赛马”等制度，鼓励涉农科技企业、科研院所联合开展多主体、跨领域协同攻关，力争在农业科技研发方面取得重大突破。</w:t>
      </w:r>
    </w:p>
    <w:p w14:paraId="439AB5F6">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完善企业引培模式。</w:t>
      </w:r>
      <w:r>
        <w:rPr>
          <w:rFonts w:hint="eastAsia" w:ascii="仿宋_GB2312" w:hAnsi="仿宋_GB2312" w:eastAsia="仿宋_GB2312" w:cs="仿宋_GB2312"/>
          <w:color w:val="auto"/>
          <w:sz w:val="32"/>
          <w:szCs w:val="32"/>
          <w:highlight w:val="none"/>
          <w:lang w:val="en-US" w:eastAsia="zh-CN"/>
        </w:rPr>
        <w:t>探索“产业链招商”模式，主动招引空间上高度集聚、上下游紧密协同、供应链集约高效的高能级“链主”企业，打造农业产业链集群。优化营商环境，完善长三角农业硅谷专项扶持政策</w:t>
      </w:r>
      <w:r>
        <w:rPr>
          <w:rFonts w:hint="eastAsia" w:ascii="仿宋_GB2312" w:hAnsi="仿宋_GB2312" w:eastAsia="仿宋_GB2312" w:cs="仿宋_GB2312"/>
          <w:color w:val="auto"/>
          <w:sz w:val="32"/>
          <w:szCs w:val="32"/>
          <w:highlight w:val="none"/>
        </w:rPr>
        <w:t>，全周期覆盖企业成长轨迹，</w:t>
      </w:r>
      <w:r>
        <w:rPr>
          <w:rFonts w:hint="eastAsia" w:ascii="仿宋_GB2312" w:hAnsi="仿宋_GB2312" w:eastAsia="仿宋_GB2312" w:cs="仿宋_GB2312"/>
          <w:color w:val="auto"/>
          <w:sz w:val="32"/>
          <w:szCs w:val="32"/>
          <w:highlight w:val="none"/>
          <w:lang w:eastAsia="zh-CN"/>
        </w:rPr>
        <w:t>优化政务服务</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lang w:eastAsia="zh-CN"/>
        </w:rPr>
        <w:t>行政效率，</w:t>
      </w:r>
      <w:r>
        <w:rPr>
          <w:rFonts w:hint="eastAsia" w:ascii="仿宋_GB2312" w:hAnsi="仿宋_GB2312" w:eastAsia="仿宋_GB2312" w:cs="仿宋_GB2312"/>
          <w:color w:val="auto"/>
          <w:sz w:val="32"/>
          <w:szCs w:val="32"/>
          <w:highlight w:val="none"/>
        </w:rPr>
        <w:t>全链条实施精准服务对接</w:t>
      </w:r>
      <w:r>
        <w:rPr>
          <w:rFonts w:hint="eastAsia" w:ascii="仿宋_GB2312" w:hAnsi="仿宋_GB2312" w:eastAsia="仿宋_GB2312" w:cs="仿宋_GB2312"/>
          <w:color w:val="auto"/>
          <w:sz w:val="32"/>
          <w:szCs w:val="32"/>
          <w:highlight w:val="none"/>
          <w:lang w:eastAsia="zh-CN"/>
        </w:rPr>
        <w:t>，提高政策服务的整体性、清晰性和便利性</w:t>
      </w:r>
      <w:r>
        <w:rPr>
          <w:rFonts w:hint="eastAsia" w:ascii="仿宋_GB2312" w:hAnsi="仿宋_GB2312" w:eastAsia="仿宋_GB2312" w:cs="仿宋_GB2312"/>
          <w:color w:val="auto"/>
          <w:kern w:val="36"/>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创新招商方式，举办农业专题招商会、科技成果路演活动，展示长三角农业硅谷发展优势与潜力，提升长三角农业硅谷知名度。扶优培强企业，发展农业产业化龙头企业、产业链“链主”企业，培育独角兽企业、瞪羚企业、专精特新企业，持续推进“鸿鹄计划”，</w:t>
      </w:r>
      <w:r>
        <w:rPr>
          <w:rFonts w:hint="eastAsia" w:eastAsia="仿宋_GB2312" w:cs="DejaVu Sans"/>
          <w:i w:val="0"/>
          <w:iCs w:val="0"/>
          <w:caps w:val="0"/>
          <w:color w:val="auto"/>
          <w:spacing w:val="0"/>
          <w:kern w:val="2"/>
          <w:sz w:val="32"/>
          <w:szCs w:val="24"/>
          <w:highlight w:val="none"/>
          <w:lang w:eastAsia="zh-CN"/>
        </w:rPr>
        <w:t>形成</w:t>
      </w:r>
      <w:r>
        <w:rPr>
          <w:rFonts w:hint="eastAsia" w:ascii="DejaVu Sans" w:hAnsi="DejaVu Sans" w:eastAsia="仿宋_GB2312" w:cs="DejaVu Sans"/>
          <w:i w:val="0"/>
          <w:iCs w:val="0"/>
          <w:caps w:val="0"/>
          <w:color w:val="auto"/>
          <w:spacing w:val="0"/>
          <w:kern w:val="2"/>
          <w:sz w:val="32"/>
          <w:szCs w:val="24"/>
          <w:highlight w:val="none"/>
        </w:rPr>
        <w:t>一批细分领域“隐形冠军”企业</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b w:val="0"/>
          <w:bCs w:val="0"/>
          <w:color w:val="auto"/>
          <w:sz w:val="32"/>
          <w:szCs w:val="32"/>
          <w:highlight w:val="none"/>
          <w:lang w:val="en-US" w:eastAsia="zh-CN"/>
        </w:rPr>
        <w:t>五五</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期间</w:t>
      </w:r>
      <w:r>
        <w:rPr>
          <w:rFonts w:hint="eastAsia" w:ascii="仿宋_GB2312" w:hAnsi="仿宋_GB2312" w:eastAsia="仿宋_GB2312" w:cs="仿宋_GB2312"/>
          <w:color w:val="auto"/>
          <w:sz w:val="32"/>
          <w:szCs w:val="32"/>
          <w:highlight w:val="none"/>
        </w:rPr>
        <w:t>引进高科技型企业</w:t>
      </w:r>
      <w:r>
        <w:rPr>
          <w:rFonts w:hint="eastAsia" w:ascii="仿宋_GB2312" w:hAnsi="仿宋_GB2312" w:eastAsia="仿宋_GB2312" w:cs="仿宋_GB2312"/>
          <w:color w:val="auto"/>
          <w:sz w:val="32"/>
          <w:szCs w:val="32"/>
          <w:highlight w:val="none"/>
          <w:lang w:val="en-US" w:eastAsia="zh-CN"/>
        </w:rPr>
        <w:t>不少于50家，培育高新技术企业不少于7家，</w:t>
      </w:r>
      <w:r>
        <w:rPr>
          <w:rFonts w:hint="eastAsia" w:ascii="仿宋_GB2312" w:hAnsi="仿宋_GB2312" w:eastAsia="仿宋_GB2312" w:cs="仿宋_GB2312"/>
          <w:b w:val="0"/>
          <w:bCs w:val="0"/>
          <w:color w:val="auto"/>
          <w:sz w:val="32"/>
          <w:szCs w:val="32"/>
          <w:highlight w:val="none"/>
          <w:lang w:val="en-US" w:eastAsia="zh-CN"/>
        </w:rPr>
        <w:t>储备优质项目不少于20个。</w:t>
      </w:r>
    </w:p>
    <w:p w14:paraId="54F4C0FF">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3"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加速科技成果转化。</w:t>
      </w:r>
      <w:r>
        <w:rPr>
          <w:rFonts w:hint="eastAsia" w:ascii="仿宋_GB2312" w:hAnsi="仿宋_GB2312" w:eastAsia="仿宋_GB2312" w:cs="仿宋_GB2312"/>
          <w:b w:val="0"/>
          <w:bCs w:val="0"/>
          <w:color w:val="auto"/>
          <w:kern w:val="2"/>
          <w:sz w:val="32"/>
          <w:szCs w:val="32"/>
          <w:highlight w:val="none"/>
          <w:lang w:val="en-US" w:eastAsia="zh-CN" w:bidi="ar-SA"/>
        </w:rPr>
        <w:t>健全科研成果的使用权、处置权、收益权机制，赋予科研人员职务科技成果所有权、长期使用权，打通科研人员创业的合规性通道。支持新技术、新产品审批认证，协同建立审批绿色通道，缩短准入批复周期，提升创新成果转化效率，加快科技成果进入市场。完善“政府搭台、基金引领、资本跟投”的</w:t>
      </w:r>
      <w:r>
        <w:rPr>
          <w:rFonts w:hint="eastAsia" w:ascii="仿宋_GB2312" w:hAnsi="仿宋_GB2312" w:eastAsia="仿宋_GB2312" w:cs="仿宋_GB2312"/>
          <w:color w:val="auto"/>
          <w:kern w:val="2"/>
          <w:sz w:val="32"/>
          <w:szCs w:val="32"/>
          <w:highlight w:val="none"/>
          <w:lang w:val="en-US" w:eastAsia="zh-CN" w:bidi="ar-SA"/>
        </w:rPr>
        <w:t>创新性</w:t>
      </w:r>
      <w:r>
        <w:rPr>
          <w:rFonts w:hint="eastAsia" w:ascii="仿宋_GB2312" w:hAnsi="仿宋_GB2312" w:eastAsia="仿宋_GB2312" w:cs="仿宋_GB2312"/>
          <w:b w:val="0"/>
          <w:bCs w:val="0"/>
          <w:color w:val="auto"/>
          <w:kern w:val="2"/>
          <w:sz w:val="32"/>
          <w:szCs w:val="32"/>
          <w:highlight w:val="none"/>
          <w:lang w:val="en-US" w:eastAsia="zh-CN" w:bidi="ar-SA"/>
        </w:rPr>
        <w:t>农业投资模式，鼓励金融机构、社会资本参与农业科技创新、成果转化，</w:t>
      </w:r>
      <w:r>
        <w:rPr>
          <w:rFonts w:hint="eastAsia" w:ascii="仿宋_GB2312" w:hAnsi="仿宋_GB2312" w:eastAsia="仿宋_GB2312" w:cs="仿宋_GB2312"/>
          <w:b w:val="0"/>
          <w:bCs w:val="0"/>
          <w:color w:val="auto"/>
          <w:kern w:val="2"/>
          <w:sz w:val="32"/>
          <w:szCs w:val="32"/>
          <w:highlight w:val="none"/>
          <w:u w:val="none"/>
          <w:lang w:val="en-US" w:eastAsia="zh-CN" w:bidi="ar-SA"/>
        </w:rPr>
        <w:t>建立符合耐心资本运作周期规律的价值评价体系。</w:t>
      </w:r>
      <w:r>
        <w:rPr>
          <w:rFonts w:hint="eastAsia" w:ascii="仿宋_GB2312" w:hAnsi="仿宋_GB2312" w:eastAsia="仿宋_GB2312" w:cs="仿宋_GB2312"/>
          <w:b w:val="0"/>
          <w:bCs w:val="0"/>
          <w:color w:val="auto"/>
          <w:kern w:val="2"/>
          <w:sz w:val="32"/>
          <w:szCs w:val="32"/>
          <w:highlight w:val="none"/>
          <w:lang w:val="en-US" w:eastAsia="zh-CN" w:bidi="ar-SA"/>
        </w:rPr>
        <w:t>提升农业科创基金支持效能，健全尽职免责机制，探索提高投资损失容忍率，为合规投资行为提供风险缓冲空间，助力释放投资活力。创设新型农业保险产品，为农业科技创新、成果转化应用提供金融支持及风险保障。</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聚焦</w:t>
      </w:r>
      <w:r>
        <w:rPr>
          <w:rFonts w:hint="eastAsia" w:ascii="仿宋_GB2312" w:hAnsi="仿宋_GB2312" w:eastAsia="仿宋_GB2312" w:cs="仿宋_GB2312"/>
          <w:b w:val="0"/>
          <w:bCs w:val="0"/>
          <w:color w:val="auto"/>
          <w:kern w:val="2"/>
          <w:sz w:val="32"/>
          <w:szCs w:val="32"/>
          <w:highlight w:val="none"/>
          <w:lang w:val="en-US" w:eastAsia="zh-CN" w:bidi="ar-SA"/>
        </w:rPr>
        <w:t>种源新品种权、生物信息、试验数据等关键创新资源，</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强化</w:t>
      </w:r>
      <w:r>
        <w:rPr>
          <w:rFonts w:hint="eastAsia" w:ascii="仿宋_GB2312" w:hAnsi="仿宋_GB2312" w:eastAsia="仿宋_GB2312" w:cs="仿宋_GB2312"/>
          <w:b w:val="0"/>
          <w:bCs w:val="0"/>
          <w:color w:val="auto"/>
          <w:kern w:val="2"/>
          <w:sz w:val="32"/>
          <w:szCs w:val="32"/>
          <w:highlight w:val="none"/>
          <w:lang w:val="en-US" w:eastAsia="zh-CN" w:bidi="ar-SA"/>
        </w:rPr>
        <w:t>农业知识产权保护。</w:t>
      </w:r>
    </w:p>
    <w:p w14:paraId="67A9EF33">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3.布局农业科创新赛道</w:t>
      </w:r>
    </w:p>
    <w:p w14:paraId="589781BB">
      <w:pPr>
        <w:keepNext w:val="0"/>
        <w:keepLines w:val="0"/>
        <w:pageBreakBefore w:val="0"/>
        <w:numPr>
          <w:ilvl w:val="0"/>
          <w:numId w:val="0"/>
        </w:numPr>
        <w:kinsoku/>
        <w:wordWrap/>
        <w:overflowPunct/>
        <w:topLinePunct w:val="0"/>
        <w:autoSpaceDE/>
        <w:autoSpaceDN/>
        <w:bidi w:val="0"/>
        <w:adjustRightInd/>
        <w:snapToGrid/>
        <w:spacing w:line="560" w:lineRule="exact"/>
        <w:ind w:right="0" w:firstLine="643"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抢占种源农业前沿阵地</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助力种业振兴行动，</w:t>
      </w:r>
      <w:r>
        <w:rPr>
          <w:rFonts w:hint="eastAsia" w:ascii="仿宋_GB2312" w:hAnsi="仿宋_GB2312" w:eastAsia="仿宋_GB2312" w:cs="仿宋_GB2312"/>
          <w:b w:val="0"/>
          <w:bCs w:val="0"/>
          <w:color w:val="auto"/>
          <w:kern w:val="2"/>
          <w:sz w:val="32"/>
          <w:szCs w:val="32"/>
          <w:highlight w:val="none"/>
          <w:lang w:val="en-US" w:eastAsia="zh-CN" w:bidi="ar-SA"/>
        </w:rPr>
        <w:t>提升现代种业创新能力，</w:t>
      </w:r>
      <w:r>
        <w:rPr>
          <w:rFonts w:hint="eastAsia" w:ascii="仿宋_GB2312" w:hAnsi="仿宋_GB2312" w:eastAsia="仿宋_GB2312" w:cs="仿宋_GB2312"/>
          <w:color w:val="auto"/>
          <w:kern w:val="2"/>
          <w:sz w:val="32"/>
          <w:szCs w:val="32"/>
          <w:highlight w:val="none"/>
          <w:lang w:val="en-US" w:eastAsia="zh-CN" w:bidi="ar-SA"/>
        </w:rPr>
        <w:t>加大长三角农业硅谷与南繁硅谷协同创新，建立国内外种源创新合作机制，建成具有全国影响力的现代种业创新平台，形成集保护储存、创新研发、成果转化为一体的种业发展模式。建设</w:t>
      </w:r>
      <w:r>
        <w:rPr>
          <w:rFonts w:hint="eastAsia" w:ascii="仿宋_GB2312" w:eastAsia="仿宋_GB2312" w:cs="仿宋_GB2312"/>
          <w:color w:val="auto"/>
          <w:sz w:val="32"/>
          <w:szCs w:val="32"/>
          <w:highlight w:val="none"/>
          <w:lang w:val="en-US" w:eastAsia="zh-CN" w:bidi="ar"/>
        </w:rPr>
        <w:t>长江口特色种质资源库，</w:t>
      </w:r>
      <w:r>
        <w:rPr>
          <w:rFonts w:hint="eastAsia" w:ascii="仿宋_GB2312" w:hAnsi="仿宋_GB2312" w:eastAsia="仿宋_GB2312" w:cs="仿宋_GB2312"/>
          <w:b w:val="0"/>
          <w:bCs w:val="0"/>
          <w:color w:val="auto"/>
          <w:sz w:val="32"/>
          <w:szCs w:val="32"/>
          <w:highlight w:val="none"/>
          <w:u w:val="none"/>
          <w:lang w:val="en-US" w:eastAsia="zh-Hans"/>
        </w:rPr>
        <w:t>建立健全崇明特色种质资源标准体系，</w:t>
      </w:r>
      <w:r>
        <w:rPr>
          <w:rFonts w:hint="eastAsia" w:ascii="仿宋_GB2312" w:hAnsi="仿宋_GB2312" w:eastAsia="仿宋_GB2312" w:cs="仿宋_GB2312"/>
          <w:b w:val="0"/>
          <w:bCs w:val="0"/>
          <w:color w:val="auto"/>
          <w:sz w:val="32"/>
          <w:szCs w:val="32"/>
          <w:highlight w:val="none"/>
          <w:u w:val="none"/>
          <w:lang w:val="en-US" w:eastAsia="zh-CN"/>
        </w:rPr>
        <w:t>运用高通量技术</w:t>
      </w:r>
      <w:r>
        <w:rPr>
          <w:rFonts w:hint="eastAsia" w:ascii="DejaVu Sans" w:hAnsi="DejaVu Sans" w:eastAsia="仿宋_GB2312" w:cs="DejaVu Sans"/>
          <w:color w:val="auto"/>
          <w:kern w:val="0"/>
          <w:sz w:val="32"/>
          <w:szCs w:val="32"/>
          <w:highlight w:val="none"/>
          <w:u w:val="none"/>
          <w:lang w:eastAsia="zh-CN"/>
        </w:rPr>
        <w:t>提高</w:t>
      </w:r>
      <w:r>
        <w:rPr>
          <w:rFonts w:hint="eastAsia" w:eastAsia="仿宋_GB2312" w:cs="DejaVu Sans"/>
          <w:color w:val="auto"/>
          <w:kern w:val="0"/>
          <w:sz w:val="32"/>
          <w:szCs w:val="32"/>
          <w:highlight w:val="none"/>
          <w:u w:val="none"/>
          <w:lang w:eastAsia="zh-CN"/>
        </w:rPr>
        <w:t>长江三角洲</w:t>
      </w:r>
      <w:r>
        <w:rPr>
          <w:rFonts w:hint="eastAsia" w:ascii="仿宋_GB2312" w:eastAsia="仿宋_GB2312" w:cs="仿宋_GB2312"/>
          <w:color w:val="auto"/>
          <w:sz w:val="32"/>
          <w:szCs w:val="32"/>
          <w:highlight w:val="none"/>
          <w:u w:val="none"/>
          <w:lang w:bidi="ar"/>
        </w:rPr>
        <w:t>白山羊、沙乌头猪、</w:t>
      </w:r>
      <w:r>
        <w:rPr>
          <w:rFonts w:hint="eastAsia" w:ascii="仿宋_GB2312" w:eastAsia="仿宋_GB2312" w:cs="仿宋_GB2312"/>
          <w:color w:val="auto"/>
          <w:sz w:val="32"/>
          <w:szCs w:val="32"/>
          <w:highlight w:val="none"/>
          <w:u w:val="none"/>
          <w:lang w:eastAsia="zh-CN" w:bidi="ar"/>
        </w:rPr>
        <w:t>中华绒螯蟹、上海水牛、崇明</w:t>
      </w:r>
      <w:r>
        <w:rPr>
          <w:rFonts w:hint="eastAsia" w:ascii="仿宋_GB2312" w:eastAsia="仿宋_GB2312" w:cs="仿宋_GB2312"/>
          <w:color w:val="auto"/>
          <w:sz w:val="32"/>
          <w:szCs w:val="32"/>
          <w:highlight w:val="none"/>
          <w:u w:val="none"/>
          <w:lang w:val="en-US" w:eastAsia="zh-CN" w:bidi="ar"/>
        </w:rPr>
        <w:t>水仙</w:t>
      </w:r>
      <w:r>
        <w:rPr>
          <w:rFonts w:hint="eastAsia" w:ascii="仿宋_GB2312" w:eastAsia="仿宋_GB2312" w:cs="仿宋_GB2312"/>
          <w:color w:val="auto"/>
          <w:sz w:val="32"/>
          <w:szCs w:val="32"/>
          <w:highlight w:val="none"/>
          <w:u w:val="none"/>
          <w:lang w:bidi="ar"/>
        </w:rPr>
        <w:t>等</w:t>
      </w:r>
      <w:r>
        <w:rPr>
          <w:rFonts w:hint="eastAsia" w:ascii="仿宋_GB2312" w:eastAsia="仿宋_GB2312" w:cs="仿宋_GB2312"/>
          <w:color w:val="auto"/>
          <w:sz w:val="32"/>
          <w:szCs w:val="32"/>
          <w:highlight w:val="none"/>
          <w:u w:val="none"/>
          <w:lang w:eastAsia="zh-CN" w:bidi="ar"/>
        </w:rPr>
        <w:t>本地特色品种</w:t>
      </w:r>
      <w:r>
        <w:rPr>
          <w:rFonts w:hint="eastAsia" w:ascii="DejaVu Sans" w:hAnsi="DejaVu Sans" w:eastAsia="仿宋_GB2312" w:cs="DejaVu Sans"/>
          <w:color w:val="auto"/>
          <w:kern w:val="0"/>
          <w:sz w:val="32"/>
          <w:szCs w:val="32"/>
          <w:highlight w:val="none"/>
          <w:u w:val="none"/>
          <w:lang w:eastAsia="zh-CN"/>
        </w:rPr>
        <w:t>育种筛选能力，</w:t>
      </w:r>
      <w:r>
        <w:rPr>
          <w:rFonts w:hint="eastAsia" w:ascii="仿宋_GB2312" w:eastAsia="仿宋_GB2312" w:cs="仿宋_GB2312"/>
          <w:color w:val="auto"/>
          <w:sz w:val="32"/>
          <w:szCs w:val="32"/>
          <w:highlight w:val="none"/>
          <w:u w:val="none"/>
          <w:lang w:val="en-US" w:eastAsia="zh-CN" w:bidi="ar"/>
        </w:rPr>
        <w:t>高标准提升打造种源选育基地7个，</w:t>
      </w:r>
      <w:r>
        <w:rPr>
          <w:rFonts w:hint="eastAsia" w:ascii="仿宋_GB2312" w:hAnsi="仿宋_GB2312" w:eastAsia="仿宋_GB2312" w:cs="仿宋_GB2312"/>
          <w:color w:val="auto"/>
          <w:sz w:val="32"/>
          <w:szCs w:val="32"/>
          <w:highlight w:val="none"/>
          <w:u w:val="none"/>
        </w:rPr>
        <w:t>提升</w:t>
      </w:r>
      <w:r>
        <w:rPr>
          <w:rFonts w:hint="eastAsia" w:ascii="仿宋_GB2312" w:hAnsi="仿宋_GB2312" w:eastAsia="仿宋_GB2312" w:cs="仿宋_GB2312"/>
          <w:color w:val="auto"/>
          <w:sz w:val="32"/>
          <w:szCs w:val="32"/>
          <w:highlight w:val="none"/>
          <w:u w:val="none"/>
          <w:lang w:eastAsia="zh-CN"/>
        </w:rPr>
        <w:t>本土</w:t>
      </w:r>
      <w:r>
        <w:rPr>
          <w:rFonts w:hint="eastAsia" w:ascii="仿宋_GB2312" w:hAnsi="仿宋_GB2312" w:eastAsia="仿宋_GB2312" w:cs="仿宋_GB2312"/>
          <w:color w:val="auto"/>
          <w:sz w:val="32"/>
          <w:szCs w:val="32"/>
          <w:highlight w:val="none"/>
          <w:u w:val="none"/>
        </w:rPr>
        <w:t>核心种质资源保有量</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攻克</w:t>
      </w:r>
      <w:r>
        <w:rPr>
          <w:rFonts w:hint="eastAsia" w:ascii="仿宋_GB2312" w:eastAsia="仿宋_GB2312" w:cs="仿宋_GB2312"/>
          <w:color w:val="auto"/>
          <w:sz w:val="32"/>
          <w:szCs w:val="32"/>
          <w:highlight w:val="none"/>
          <w:lang w:eastAsia="zh-CN" w:bidi="ar"/>
        </w:rPr>
        <w:t>“卡脖子”难题，</w:t>
      </w:r>
      <w:r>
        <w:rPr>
          <w:rFonts w:hint="eastAsia" w:ascii="仿宋_GB2312" w:eastAsia="仿宋_GB2312" w:cs="仿宋_GB2312"/>
          <w:color w:val="auto"/>
          <w:sz w:val="32"/>
          <w:szCs w:val="32"/>
          <w:highlight w:val="none"/>
          <w:lang w:val="en-US" w:eastAsia="zh-CN" w:bidi="ar"/>
        </w:rPr>
        <w:t>发展“人工智能+基因编辑”</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val="en-US" w:eastAsia="zh-CN" w:bidi="ar"/>
        </w:rPr>
        <w:t>单倍体诱导</w:t>
      </w:r>
      <w:r>
        <w:rPr>
          <w:rFonts w:hint="eastAsia" w:ascii="仿宋_GB2312" w:eastAsia="仿宋_GB2312" w:cs="仿宋_GB2312"/>
          <w:color w:val="auto"/>
          <w:sz w:val="32"/>
          <w:szCs w:val="32"/>
          <w:highlight w:val="none"/>
          <w:lang w:eastAsia="zh-CN" w:bidi="ar"/>
        </w:rPr>
        <w:t>、新型基因编辑、</w:t>
      </w:r>
      <w:r>
        <w:rPr>
          <w:rFonts w:hint="eastAsia" w:ascii="仿宋_GB2312" w:hAnsi="仿宋_GB2312" w:eastAsia="仿宋_GB2312" w:cs="仿宋_GB2312"/>
          <w:color w:val="auto"/>
          <w:sz w:val="32"/>
          <w:szCs w:val="32"/>
          <w:highlight w:val="none"/>
          <w:lang w:val="en-US" w:eastAsia="zh-CN"/>
        </w:rPr>
        <w:t>智能设计育种等技术，建立快速精准育种技术体系，联合培育具有自主知识产权的新品种5个以上，推动经验育种向智能育种转变</w:t>
      </w:r>
      <w:r>
        <w:rPr>
          <w:rFonts w:hint="eastAsia" w:asci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rPr>
        <w:t>打造现代种业集群，构建“育繁推一体化、产供销一条龙”的种业全产业链生态，推动种源优势转化为经济优势，试点开展崇明小菠菜、崇明香酥芋等特色蔬菜品种商业化制种销售，</w:t>
      </w:r>
      <w:r>
        <w:rPr>
          <w:rFonts w:hint="eastAsia" w:ascii="仿宋_GB2312" w:hAnsi="仿宋_GB2312" w:eastAsia="仿宋_GB2312" w:cs="仿宋_GB2312"/>
          <w:b w:val="0"/>
          <w:bCs w:val="0"/>
          <w:color w:val="auto"/>
          <w:kern w:val="2"/>
          <w:sz w:val="32"/>
          <w:szCs w:val="32"/>
          <w:highlight w:val="none"/>
          <w:u w:val="none"/>
          <w:lang w:val="en-US" w:eastAsia="zh-CN" w:bidi="ar-SA"/>
        </w:rPr>
        <w:t>“崇”字头等新优水稻品种推广面积不低于10万亩次，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崇明1号”河蟹新</w:t>
      </w:r>
      <w:r>
        <w:rPr>
          <w:rFonts w:hint="eastAsia" w:ascii="仿宋_GB2312" w:hAnsi="仿宋_GB2312" w:eastAsia="仿宋_GB2312" w:cs="仿宋_GB2312"/>
          <w:color w:val="auto"/>
          <w:sz w:val="32"/>
          <w:szCs w:val="32"/>
          <w:highlight w:val="none"/>
          <w:lang w:val="en-US" w:eastAsia="zh-CN"/>
        </w:rPr>
        <w:t>品系年</w:t>
      </w:r>
      <w:r>
        <w:rPr>
          <w:rFonts w:hint="eastAsia" w:ascii="仿宋_GB2312" w:hAnsi="仿宋_GB2312" w:eastAsia="仿宋_GB2312" w:cs="仿宋_GB2312"/>
          <w:color w:val="auto"/>
          <w:sz w:val="32"/>
          <w:szCs w:val="32"/>
          <w:highlight w:val="none"/>
        </w:rPr>
        <w:t>规模化</w:t>
      </w:r>
      <w:r>
        <w:rPr>
          <w:rFonts w:hint="eastAsia" w:ascii="仿宋_GB2312" w:hAnsi="仿宋_GB2312" w:eastAsia="仿宋_GB2312" w:cs="仿宋_GB2312"/>
          <w:color w:val="auto"/>
          <w:sz w:val="32"/>
          <w:szCs w:val="32"/>
          <w:highlight w:val="none"/>
          <w:lang w:eastAsia="zh-CN"/>
        </w:rPr>
        <w:t>辐射外省</w:t>
      </w:r>
      <w:r>
        <w:rPr>
          <w:rFonts w:hint="eastAsia" w:ascii="仿宋_GB2312" w:hAnsi="仿宋_GB2312" w:eastAsia="仿宋_GB2312" w:cs="仿宋_GB2312"/>
          <w:color w:val="auto"/>
          <w:sz w:val="32"/>
          <w:szCs w:val="32"/>
          <w:highlight w:val="none"/>
          <w:lang w:val="en-US" w:eastAsia="zh-CN"/>
        </w:rPr>
        <w:t>不低于15</w:t>
      </w:r>
      <w:r>
        <w:rPr>
          <w:rFonts w:hint="eastAsia" w:ascii="仿宋_GB2312" w:hAnsi="仿宋_GB2312" w:eastAsia="仿宋_GB2312" w:cs="仿宋_GB2312"/>
          <w:color w:val="auto"/>
          <w:sz w:val="32"/>
          <w:szCs w:val="32"/>
          <w:highlight w:val="none"/>
        </w:rPr>
        <w:t>万亩，培育具有</w:t>
      </w:r>
      <w:r>
        <w:rPr>
          <w:rFonts w:hint="eastAsia" w:ascii="仿宋_GB2312" w:hAnsi="仿宋_GB2312" w:eastAsia="仿宋_GB2312" w:cs="仿宋_GB2312"/>
          <w:color w:val="auto"/>
          <w:sz w:val="32"/>
          <w:szCs w:val="32"/>
          <w:highlight w:val="none"/>
          <w:lang w:val="en-US" w:eastAsia="zh-CN"/>
        </w:rPr>
        <w:t>影响力</w:t>
      </w:r>
      <w:r>
        <w:rPr>
          <w:rFonts w:hint="eastAsia" w:ascii="仿宋_GB2312" w:hAnsi="仿宋_GB2312" w:eastAsia="仿宋_GB2312" w:cs="仿宋_GB2312"/>
          <w:color w:val="auto"/>
          <w:sz w:val="32"/>
          <w:szCs w:val="32"/>
          <w:highlight w:val="none"/>
        </w:rPr>
        <w:t>的种源领军企业2-3家，全区</w:t>
      </w:r>
      <w:r>
        <w:rPr>
          <w:rFonts w:hint="eastAsia" w:ascii="仿宋_GB2312" w:hAnsi="仿宋_GB2312" w:eastAsia="仿宋_GB2312" w:cs="仿宋_GB2312"/>
          <w:color w:val="auto"/>
          <w:sz w:val="32"/>
          <w:szCs w:val="32"/>
          <w:highlight w:val="none"/>
          <w:lang w:val="en-US" w:eastAsia="zh-CN"/>
        </w:rPr>
        <w:t>农业</w:t>
      </w:r>
      <w:r>
        <w:rPr>
          <w:rFonts w:hint="eastAsia" w:ascii="仿宋_GB2312" w:hAnsi="仿宋_GB2312" w:eastAsia="仿宋_GB2312" w:cs="仿宋_GB2312"/>
          <w:color w:val="auto"/>
          <w:sz w:val="32"/>
          <w:szCs w:val="32"/>
          <w:highlight w:val="none"/>
        </w:rPr>
        <w:t>种业产值较“十四五”</w:t>
      </w:r>
      <w:r>
        <w:rPr>
          <w:rFonts w:hint="eastAsia" w:ascii="仿宋_GB2312" w:hAnsi="仿宋_GB2312" w:eastAsia="仿宋_GB2312" w:cs="仿宋_GB2312"/>
          <w:color w:val="auto"/>
          <w:sz w:val="32"/>
          <w:szCs w:val="32"/>
          <w:highlight w:val="none"/>
          <w:lang w:val="en-US" w:eastAsia="zh-CN"/>
        </w:rPr>
        <w:t>期间</w:t>
      </w:r>
      <w:r>
        <w:rPr>
          <w:rFonts w:hint="eastAsia" w:ascii="仿宋_GB2312" w:hAnsi="仿宋_GB2312" w:eastAsia="仿宋_GB2312" w:cs="仿宋_GB2312"/>
          <w:color w:val="auto"/>
          <w:sz w:val="32"/>
          <w:szCs w:val="32"/>
          <w:highlight w:val="none"/>
        </w:rPr>
        <w:t>增长</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w:t>
      </w:r>
    </w:p>
    <w:p w14:paraId="76DF387F">
      <w:pPr>
        <w:keepNext w:val="0"/>
        <w:keepLines w:val="0"/>
        <w:pageBreakBefore w:val="0"/>
        <w:widowControl w:val="0"/>
        <w:kinsoku/>
        <w:wordWrap/>
        <w:overflowPunct/>
        <w:topLinePunct w:val="0"/>
        <w:autoSpaceDE/>
        <w:autoSpaceDN/>
        <w:bidi w:val="0"/>
        <w:adjustRightInd/>
        <w:spacing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挖掘生物农业潜在价值。</w:t>
      </w:r>
      <w:r>
        <w:rPr>
          <w:rFonts w:hint="eastAsia" w:ascii="仿宋_GB2312" w:hAnsi="仿宋_GB2312" w:eastAsia="仿宋_GB2312" w:cs="仿宋_GB2312"/>
          <w:b w:val="0"/>
          <w:bCs w:val="0"/>
          <w:color w:val="auto"/>
          <w:sz w:val="32"/>
          <w:szCs w:val="32"/>
          <w:highlight w:val="none"/>
          <w:lang w:val="en-US" w:eastAsia="zh-CN"/>
        </w:rPr>
        <w:t>发展生物合成系统创制、分子进化、蛋白设计等合成生物学技术，突破生物合成蛋白的细胞工厂和分子农场技术，培育生物制造业新动能。创制生物农业新产品，聚焦农业绿色投入品领域，创新分子靶标发现、核酸分子递送、基因重组、微生物发酵等技术，创制RNA生物农药、生物大分子兽药、结构型疫苗、微生物肥料等绿色投入品，提高自主创新产品市场占有率。全方位开发食物资源，</w:t>
      </w:r>
      <w:r>
        <w:rPr>
          <w:rFonts w:hint="eastAsia" w:ascii="仿宋_GB2312" w:hAnsi="仿宋_GB2312" w:eastAsia="仿宋_GB2312" w:cs="仿宋_GB2312"/>
          <w:bCs/>
          <w:color w:val="auto"/>
          <w:kern w:val="2"/>
          <w:sz w:val="32"/>
          <w:szCs w:val="32"/>
          <w:highlight w:val="none"/>
          <w:lang w:val="en-US" w:eastAsia="zh-CN" w:bidi="ar-SA"/>
        </w:rPr>
        <w:t>围绕非粮生物质制糖技术、微生物菌体蛋白技术、食用菌和藻类开发等领域，开拓新型食品资源和新型饲用蛋白来源，开发植物肉、人工合成淀粉等食品，构建多元化食物供给体系。</w:t>
      </w:r>
    </w:p>
    <w:p w14:paraId="2A974DEC">
      <w:pPr>
        <w:pStyle w:val="8"/>
        <w:keepNext w:val="0"/>
        <w:keepLines w:val="0"/>
        <w:pageBreakBefore w:val="0"/>
        <w:kinsoku/>
        <w:wordWrap/>
        <w:overflowPunct/>
        <w:topLinePunct w:val="0"/>
        <w:autoSpaceDE/>
        <w:autoSpaceDN/>
        <w:bidi w:val="0"/>
        <w:adjustRightInd/>
        <w:spacing w:line="560" w:lineRule="exact"/>
        <w:ind w:left="0" w:leftChars="0" w:right="0" w:firstLine="643" w:firstLineChars="200"/>
        <w:textAlignment w:val="auto"/>
        <w:rPr>
          <w:rFonts w:hint="default"/>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补强现代设施农业装备。</w:t>
      </w:r>
      <w:r>
        <w:rPr>
          <w:rFonts w:hint="eastAsia" w:ascii="仿宋_GB2312" w:hAnsi="仿宋_GB2312" w:eastAsia="仿宋_GB2312" w:cs="仿宋_GB2312"/>
          <w:b w:val="0"/>
          <w:bCs w:val="0"/>
          <w:color w:val="auto"/>
          <w:sz w:val="32"/>
          <w:szCs w:val="32"/>
          <w:highlight w:val="none"/>
          <w:lang w:val="en-US" w:eastAsia="zh-CN"/>
        </w:rPr>
        <w:t>开展农业设备关键技术研发，围绕绿色高效目标，突破目标识别、智能控制、自动采摘等关键核心技术，鼓励开发柔性农业机器人，形成融合温室制造、设施装备、控制软件、农艺技术、生产运营等国产温室系统集成技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布局未来农业场景，应用</w:t>
      </w:r>
      <w:r>
        <w:rPr>
          <w:rFonts w:hint="eastAsia" w:ascii="仿宋_GB2312" w:hAnsi="仿宋_GB2312" w:eastAsia="仿宋_GB2312" w:cs="仿宋_GB2312"/>
          <w:color w:val="auto"/>
          <w:kern w:val="2"/>
          <w:sz w:val="32"/>
          <w:szCs w:val="32"/>
          <w:highlight w:val="none"/>
          <w:lang w:val="en-US" w:eastAsia="zh-CN" w:bidi="ar-SA"/>
        </w:rPr>
        <w:t>环境监测调控、农情智能监测、智能农机等技术，建设</w:t>
      </w:r>
      <w:r>
        <w:rPr>
          <w:rFonts w:hint="eastAsia" w:ascii="仿宋_GB2312" w:hAnsi="仿宋_GB2312" w:eastAsia="仿宋_GB2312" w:cs="仿宋_GB2312"/>
          <w:b w:val="0"/>
          <w:bCs w:val="0"/>
          <w:color w:val="auto"/>
          <w:sz w:val="32"/>
          <w:szCs w:val="32"/>
          <w:highlight w:val="none"/>
          <w:lang w:val="en-US" w:eastAsia="zh-CN"/>
        </w:rPr>
        <w:t>粮食智慧农场1个；融合物联网与大数据、智能环境调控、自动化种植与水肥管理技术、AI智能决策系统，建设植物工厂1个；结合自动增氧、智能巡检、智能投饲、个体行为观测、鱼病智能诊断等技术装备，建设工厂化水产养殖基地2个；集成智能饲喂、AI行为监测、红外预警与粪污资源化系统，建设现代楼房养殖牧场，实现智慧化无人养殖。</w:t>
      </w:r>
    </w:p>
    <w:p w14:paraId="24240FD7">
      <w:pPr>
        <w:keepNext w:val="0"/>
        <w:keepLines w:val="0"/>
        <w:pageBreakBefore w:val="0"/>
        <w:widowControl w:val="0"/>
        <w:kinsoku/>
        <w:wordWrap/>
        <w:overflowPunct/>
        <w:topLinePunct w:val="0"/>
        <w:autoSpaceDE/>
        <w:autoSpaceDN/>
        <w:bidi w:val="0"/>
        <w:adjustRightInd/>
        <w:spacing w:line="560" w:lineRule="exact"/>
        <w:ind w:right="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4.强化科技应用赋能</w:t>
      </w:r>
    </w:p>
    <w:p w14:paraId="1099C76E">
      <w:pPr>
        <w:pStyle w:val="5"/>
        <w:keepNext w:val="0"/>
        <w:keepLines w:val="0"/>
        <w:pageBreakBefore w:val="0"/>
        <w:widowControl w:val="0"/>
        <w:kinsoku/>
        <w:wordWrap/>
        <w:overflowPunct/>
        <w:topLinePunct w:val="0"/>
        <w:autoSpaceDE/>
        <w:autoSpaceDN/>
        <w:bidi w:val="0"/>
        <w:adjustRightInd/>
        <w:spacing w:line="560" w:lineRule="exact"/>
        <w:ind w:right="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深化国内外交流合作。</w:t>
      </w:r>
      <w:r>
        <w:rPr>
          <w:rFonts w:hint="eastAsia" w:ascii="仿宋_GB2312" w:hAnsi="仿宋_GB2312" w:eastAsia="仿宋_GB2312" w:cs="仿宋_GB2312"/>
          <w:b w:val="0"/>
          <w:bCs w:val="0"/>
          <w:color w:val="auto"/>
          <w:kern w:val="2"/>
          <w:sz w:val="32"/>
          <w:szCs w:val="32"/>
          <w:highlight w:val="none"/>
          <w:lang w:val="en-US" w:eastAsia="zh-CN" w:bidi="ar-SA"/>
        </w:rPr>
        <w:t>主动融入全球创新网络，引入国际前沿创新思路和成果，推进原创性科研成果在崇应用推广，鼓励高水平科研院所、涉农科技型企业在崇成立研发中心、设立分支机构。积极参与长三角区域农业科研活动，协同开展技术攻关和创新，提升崇明农业科技创新效能。</w:t>
      </w:r>
    </w:p>
    <w:p w14:paraId="7196E7DA">
      <w:pPr>
        <w:keepNext w:val="0"/>
        <w:keepLines w:val="0"/>
        <w:pageBreakBefore w:val="0"/>
        <w:widowControl w:val="0"/>
        <w:kinsoku/>
        <w:wordWrap/>
        <w:overflowPunct/>
        <w:topLinePunct w:val="0"/>
        <w:autoSpaceDE/>
        <w:autoSpaceDN/>
        <w:bidi w:val="0"/>
        <w:adjustRightInd/>
        <w:spacing w:line="560" w:lineRule="exact"/>
        <w:ind w:right="0" w:firstLine="643" w:firstLineChars="200"/>
        <w:jc w:val="left"/>
        <w:textAlignment w:val="auto"/>
        <w:rPr>
          <w:rFonts w:hint="default" w:ascii="仿宋_GB2312" w:hAnsi="仿宋_GB2312" w:eastAsia="仿宋_GB2312" w:cs="仿宋_GB2312"/>
          <w:b w:val="0"/>
          <w:bCs w:val="0"/>
          <w:color w:val="C00000"/>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加快农业数智化转型。</w:t>
      </w:r>
      <w:r>
        <w:rPr>
          <w:rFonts w:hint="eastAsia" w:ascii="仿宋_GB2312" w:hAnsi="仿宋_GB2312" w:eastAsia="仿宋_GB2312" w:cs="仿宋_GB2312"/>
          <w:b w:val="0"/>
          <w:bCs w:val="0"/>
          <w:color w:val="auto"/>
          <w:sz w:val="32"/>
          <w:szCs w:val="32"/>
          <w:highlight w:val="none"/>
          <w:lang w:val="en-US" w:eastAsia="zh-CN"/>
        </w:rPr>
        <w:t>推动农业产业数智管理，</w:t>
      </w:r>
      <w:r>
        <w:rPr>
          <w:rFonts w:hint="eastAsia" w:ascii="仿宋_GB2312" w:hAnsi="仿宋_GB2312" w:eastAsia="仿宋_GB2312" w:cs="仿宋_GB2312"/>
          <w:b w:val="0"/>
          <w:bCs w:val="0"/>
          <w:color w:val="auto"/>
          <w:kern w:val="2"/>
          <w:sz w:val="32"/>
          <w:szCs w:val="32"/>
          <w:highlight w:val="none"/>
          <w:lang w:val="en-US" w:eastAsia="zh-CN"/>
        </w:rPr>
        <w:t>依托</w:t>
      </w:r>
      <w:r>
        <w:rPr>
          <w:rFonts w:hint="eastAsia" w:ascii="仿宋_GB2312" w:hAnsi="仿宋_GB2312" w:eastAsia="仿宋_GB2312" w:cs="仿宋_GB2312"/>
          <w:i w:val="0"/>
          <w:iCs w:val="0"/>
          <w:caps w:val="0"/>
          <w:color w:val="auto"/>
          <w:spacing w:val="0"/>
          <w:kern w:val="2"/>
          <w:sz w:val="32"/>
          <w:szCs w:val="32"/>
          <w:highlight w:val="none"/>
          <w:shd w:val="clear" w:color="auto" w:fill="auto"/>
          <w:lang w:eastAsia="zh-CN"/>
        </w:rPr>
        <w:t>现代</w:t>
      </w:r>
      <w:r>
        <w:rPr>
          <w:rFonts w:hint="eastAsia" w:ascii="仿宋_GB2312" w:hAnsi="仿宋_GB2312" w:eastAsia="仿宋_GB2312" w:cs="仿宋_GB2312"/>
          <w:i w:val="0"/>
          <w:iCs w:val="0"/>
          <w:caps w:val="0"/>
          <w:color w:val="auto"/>
          <w:spacing w:val="0"/>
          <w:kern w:val="2"/>
          <w:sz w:val="32"/>
          <w:szCs w:val="32"/>
          <w:highlight w:val="none"/>
          <w:shd w:val="clear" w:color="auto" w:fill="auto"/>
        </w:rPr>
        <w:t>通信技术</w:t>
      </w:r>
      <w:r>
        <w:rPr>
          <w:rFonts w:hint="eastAsia" w:ascii="仿宋_GB2312" w:hAnsi="仿宋_GB2312" w:eastAsia="仿宋_GB2312" w:cs="仿宋_GB2312"/>
          <w:i w:val="0"/>
          <w:iCs w:val="0"/>
          <w:caps w:val="0"/>
          <w:color w:val="auto"/>
          <w:spacing w:val="0"/>
          <w:kern w:val="2"/>
          <w:sz w:val="32"/>
          <w:szCs w:val="32"/>
          <w:highlight w:val="none"/>
          <w:shd w:val="clear" w:color="auto" w:fill="auto"/>
          <w:lang w:eastAsia="zh-CN"/>
        </w:rPr>
        <w:t>、</w:t>
      </w:r>
      <w:r>
        <w:rPr>
          <w:rFonts w:hint="eastAsia" w:ascii="仿宋_GB2312" w:hAnsi="仿宋_GB2312" w:eastAsia="仿宋_GB2312" w:cs="仿宋_GB2312"/>
          <w:i w:val="0"/>
          <w:iCs w:val="0"/>
          <w:caps w:val="0"/>
          <w:color w:val="auto"/>
          <w:spacing w:val="0"/>
          <w:kern w:val="2"/>
          <w:sz w:val="32"/>
          <w:szCs w:val="32"/>
          <w:highlight w:val="none"/>
          <w:shd w:val="clear" w:color="auto" w:fill="auto"/>
        </w:rPr>
        <w:t>物联网、遥感、GIS等技术，</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rPr>
        <w:t>深化</w:t>
      </w:r>
      <w:r>
        <w:rPr>
          <w:rFonts w:hint="eastAsia" w:ascii="仿宋_GB2312" w:hAnsi="仿宋_GB2312" w:eastAsia="仿宋_GB2312" w:cs="仿宋_GB2312"/>
          <w:i w:val="0"/>
          <w:iCs w:val="0"/>
          <w:caps w:val="0"/>
          <w:color w:val="auto"/>
          <w:spacing w:val="0"/>
          <w:kern w:val="2"/>
          <w:sz w:val="32"/>
          <w:szCs w:val="32"/>
          <w:highlight w:val="none"/>
          <w:shd w:val="clear" w:color="auto" w:fill="auto"/>
        </w:rPr>
        <w:t>人工智能、大模型、大数据在农业领域的深度运用</w:t>
      </w:r>
      <w:r>
        <w:rPr>
          <w:rFonts w:hint="eastAsia" w:ascii="仿宋_GB2312" w:hAnsi="仿宋_GB2312" w:eastAsia="仿宋_GB2312" w:cs="仿宋_GB2312"/>
          <w:i w:val="0"/>
          <w:iCs w:val="0"/>
          <w:caps w:val="0"/>
          <w:color w:val="auto"/>
          <w:spacing w:val="0"/>
          <w:kern w:val="2"/>
          <w:sz w:val="32"/>
          <w:szCs w:val="32"/>
          <w:highlight w:val="none"/>
          <w:shd w:val="clear" w:color="auto" w:fill="auto"/>
          <w:lang w:eastAsia="zh-CN"/>
        </w:rPr>
        <w:t>，</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rPr>
        <w:t>赋能未来农业生产服务场景。</w:t>
      </w:r>
      <w:r>
        <w:rPr>
          <w:rFonts w:hint="eastAsia" w:ascii="仿宋_GB2312" w:hAnsi="仿宋_GB2312" w:eastAsia="仿宋_GB2312" w:cs="仿宋_GB2312"/>
          <w:b w:val="0"/>
          <w:bCs w:val="0"/>
          <w:color w:val="auto"/>
          <w:sz w:val="32"/>
          <w:szCs w:val="32"/>
          <w:highlight w:val="none"/>
        </w:rPr>
        <w:t>升级数字农业智能管控</w:t>
      </w:r>
      <w:r>
        <w:rPr>
          <w:rFonts w:hint="eastAsia" w:ascii="仿宋_GB2312" w:hAnsi="仿宋_GB2312" w:eastAsia="仿宋_GB2312" w:cs="仿宋_GB2312"/>
          <w:b w:val="0"/>
          <w:bCs w:val="0"/>
          <w:color w:val="auto"/>
          <w:sz w:val="32"/>
          <w:szCs w:val="32"/>
          <w:highlight w:val="none"/>
          <w:lang w:eastAsia="zh-CN"/>
        </w:rPr>
        <w:t>平台</w:t>
      </w:r>
      <w:r>
        <w:rPr>
          <w:rFonts w:hint="eastAsia" w:ascii="仿宋_GB2312" w:hAnsi="仿宋_GB2312" w:eastAsia="仿宋_GB2312" w:cs="仿宋_GB2312"/>
          <w:b w:val="0"/>
          <w:bCs w:val="0"/>
          <w:color w:val="auto"/>
          <w:sz w:val="32"/>
          <w:szCs w:val="32"/>
          <w:highlight w:val="none"/>
          <w:shd w:val="clear" w:color="auto" w:fill="auto"/>
        </w:rPr>
        <w:t>，</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推进数据资源汇聚治理和共享交换</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kern w:val="0"/>
          <w:sz w:val="32"/>
          <w:szCs w:val="32"/>
          <w:highlight w:val="none"/>
        </w:rPr>
        <w:t>深化“图</w:t>
      </w:r>
      <w:r>
        <w:rPr>
          <w:rFonts w:hint="eastAsia" w:ascii="仿宋_GB2312" w:hAnsi="仿宋_GB2312" w:eastAsia="仿宋_GB2312" w:cs="仿宋_GB2312"/>
          <w:b w:val="0"/>
          <w:bCs w:val="0"/>
          <w:color w:val="auto"/>
          <w:kern w:val="0"/>
          <w:sz w:val="32"/>
          <w:szCs w:val="32"/>
          <w:highlight w:val="none"/>
          <w:lang w:eastAsia="zh-CN"/>
        </w:rPr>
        <w:t>库</w:t>
      </w:r>
      <w:r>
        <w:rPr>
          <w:rFonts w:hint="eastAsia" w:ascii="仿宋_GB2312" w:hAnsi="仿宋_GB2312" w:eastAsia="仿宋_GB2312" w:cs="仿宋_GB2312"/>
          <w:b w:val="0"/>
          <w:bCs w:val="0"/>
          <w:color w:val="auto"/>
          <w:kern w:val="0"/>
          <w:sz w:val="32"/>
          <w:szCs w:val="32"/>
          <w:highlight w:val="none"/>
        </w:rPr>
        <w:t>码链”技术创新应用</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建立健全覆盖全域的“天空地”一体化农业观测网络</w:t>
      </w:r>
      <w:r>
        <w:rPr>
          <w:rFonts w:hint="eastAsia" w:ascii="仿宋_GB2312" w:hAnsi="仿宋_GB2312" w:eastAsia="仿宋_GB2312" w:cs="仿宋_GB2312"/>
          <w:b w:val="0"/>
          <w:bCs w:val="0"/>
          <w:color w:val="auto"/>
          <w:sz w:val="32"/>
          <w:szCs w:val="32"/>
          <w:highlight w:val="none"/>
        </w:rPr>
        <w:t>，实现农业生产全周期数字化管控。</w:t>
      </w:r>
      <w:r>
        <w:rPr>
          <w:rFonts w:hint="eastAsia" w:ascii="仿宋_GB2312" w:hAnsi="仿宋_GB2312" w:eastAsia="仿宋_GB2312" w:cs="仿宋_GB2312"/>
          <w:b w:val="0"/>
          <w:bCs w:val="0"/>
          <w:color w:val="auto"/>
          <w:sz w:val="32"/>
          <w:szCs w:val="32"/>
          <w:highlight w:val="none"/>
          <w:lang w:val="en-US" w:eastAsia="zh-CN"/>
        </w:rPr>
        <w:t>推广区块链技术，强化崇明大米、清水蟹、白山羊等地标产品全生命周期质量追溯，运用智能合约技术，确保农产品销售安全结算、农业保险精准理赔。鼓励企业依托数据创新实验室等载体，推动自有数据和公共数据融合应用，打造农业数字化标杆应用场景，充分释放数据要素价值。</w:t>
      </w:r>
    </w:p>
    <w:p w14:paraId="73AD8F7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color w:val="auto"/>
          <w:sz w:val="32"/>
          <w:szCs w:val="32"/>
          <w:highlight w:val="none"/>
          <w:lang w:val="en-US" w:eastAsia="zh-CN"/>
        </w:rPr>
        <w:t>（二）深耕现代农业沃土，积蓄乡村产业发展新动力</w:t>
      </w:r>
    </w:p>
    <w:p w14:paraId="525A1B2E">
      <w:pPr>
        <w:keepNext w:val="0"/>
        <w:keepLines w:val="0"/>
        <w:pageBreakBefore w:val="0"/>
        <w:widowControl w:val="0"/>
        <w:kinsoku/>
        <w:wordWrap/>
        <w:overflowPunct/>
        <w:topLinePunct w:val="0"/>
        <w:autoSpaceDE/>
        <w:autoSpaceDN/>
        <w:bidi w:val="0"/>
        <w:adjustRightInd/>
        <w:spacing w:line="560" w:lineRule="exact"/>
        <w:ind w:right="0"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坚持以“大农业观、大食物观”破局立新，全方位夯实都市现代农业发展底盘，立足资源禀赋</w:t>
      </w:r>
      <w:r>
        <w:rPr>
          <w:rFonts w:hint="eastAsia" w:ascii="仿宋_GB2312" w:hAnsi="仿宋_GB2312" w:eastAsia="仿宋_GB2312" w:cs="仿宋_GB2312"/>
          <w:b w:val="0"/>
          <w:bCs w:val="0"/>
          <w:strike w:val="0"/>
          <w:dstrike w:val="0"/>
          <w:color w:val="auto"/>
          <w:sz w:val="32"/>
          <w:szCs w:val="32"/>
          <w:highlight w:val="none"/>
          <w:u w:val="none"/>
          <w:lang w:val="en-US" w:eastAsia="zh-CN"/>
        </w:rPr>
        <w:t>拓宽</w:t>
      </w:r>
      <w:r>
        <w:rPr>
          <w:rFonts w:hint="eastAsia" w:ascii="仿宋_GB2312" w:hAnsi="仿宋_GB2312" w:eastAsia="仿宋_GB2312" w:cs="仿宋_GB2312"/>
          <w:b w:val="0"/>
          <w:bCs w:val="0"/>
          <w:color w:val="auto"/>
          <w:sz w:val="32"/>
          <w:szCs w:val="32"/>
          <w:highlight w:val="none"/>
          <w:u w:val="none"/>
          <w:lang w:val="en-US" w:eastAsia="zh-CN"/>
        </w:rPr>
        <w:t>农业发展边界，在生态优先与高质量发展中探寻乡村产业跃迁路径，为乡村全面振兴蓄势聚能。</w:t>
      </w:r>
    </w:p>
    <w:p w14:paraId="75EB8D46">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1.抓好粮食等农产品稳产保供</w:t>
      </w:r>
    </w:p>
    <w:p w14:paraId="296B08F1">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夯实粮食安全根基。</w:t>
      </w:r>
      <w:r>
        <w:rPr>
          <w:rFonts w:hint="eastAsia" w:ascii="仿宋_GB2312" w:hAnsi="仿宋_GB2312" w:eastAsia="仿宋_GB2312" w:cs="仿宋_GB2312"/>
          <w:b w:val="0"/>
          <w:bCs w:val="0"/>
          <w:color w:val="auto"/>
          <w:kern w:val="2"/>
          <w:sz w:val="32"/>
          <w:szCs w:val="32"/>
          <w:highlight w:val="none"/>
          <w:lang w:val="en-US" w:eastAsia="zh-CN" w:bidi="ar-SA"/>
        </w:rPr>
        <w:t>落实粮食安全党政同责，全面实施“藏粮于地、藏粮于技”战略，坚持稳面积、增单产</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双管齐下</w:t>
      </w:r>
      <w:r>
        <w:rPr>
          <w:rFonts w:hint="eastAsia" w:ascii="仿宋_GB2312" w:hAnsi="仿宋_GB2312" w:eastAsia="仿宋_GB2312" w:cs="仿宋_GB2312"/>
          <w:b w:val="0"/>
          <w:bCs w:val="0"/>
          <w:color w:val="auto"/>
          <w:kern w:val="2"/>
          <w:sz w:val="32"/>
          <w:szCs w:val="32"/>
          <w:highlight w:val="none"/>
          <w:lang w:val="en-US" w:eastAsia="zh-CN" w:bidi="ar-SA"/>
        </w:rPr>
        <w:t>，推动现代耕作制度试点，完成市级下达的粮食生产任务，牢牢守住粮食安全底线。夯实粮食产能保障基础，高质量推进高标准农田建设，建立健全现代农业基础设施长效管护机制。</w:t>
      </w:r>
      <w:r>
        <w:rPr>
          <w:rFonts w:hint="eastAsia" w:ascii="仿宋_GB2312" w:eastAsia="仿宋_GB2312" w:cs="DejaVu Sans"/>
          <w:color w:val="auto"/>
          <w:kern w:val="2"/>
          <w:sz w:val="32"/>
          <w:szCs w:val="32"/>
          <w:highlight w:val="none"/>
          <w:lang w:val="en-US" w:eastAsia="zh-CN" w:bidi="ar-SA"/>
        </w:rPr>
        <w:t>严守耕地保护红线，坚决制止耕地“非农化”，防止“非粮化”和抛荒，严格实行</w:t>
      </w:r>
      <w:r>
        <w:rPr>
          <w:rFonts w:hint="eastAsia" w:ascii="仿宋_GB2312" w:eastAsia="仿宋_GB2312" w:cs="DejaVu Sans"/>
          <w:strike w:val="0"/>
          <w:dstrike w:val="0"/>
          <w:color w:val="auto"/>
          <w:kern w:val="2"/>
          <w:sz w:val="32"/>
          <w:szCs w:val="32"/>
          <w:highlight w:val="none"/>
          <w:lang w:val="en-US" w:eastAsia="zh-CN" w:bidi="ar-SA"/>
        </w:rPr>
        <w:t>耕地</w:t>
      </w:r>
      <w:r>
        <w:rPr>
          <w:rFonts w:hint="eastAsia" w:ascii="仿宋_GB2312" w:eastAsia="仿宋_GB2312" w:cs="DejaVu Sans"/>
          <w:color w:val="auto"/>
          <w:kern w:val="2"/>
          <w:sz w:val="32"/>
          <w:szCs w:val="32"/>
          <w:highlight w:val="none"/>
          <w:lang w:val="en-US" w:eastAsia="zh-CN" w:bidi="ar-SA"/>
        </w:rPr>
        <w:t>用途管制，强化土地流转主体审核、产业准入、风险防范等全程监管</w:t>
      </w:r>
      <w:r>
        <w:rPr>
          <w:rFonts w:hint="eastAsia" w:ascii="仿宋_GB2312" w:hAnsi="DejaVu Sans" w:eastAsia="仿宋_GB2312" w:cs="DejaVu Sans"/>
          <w:color w:val="auto"/>
          <w:kern w:val="2"/>
          <w:sz w:val="32"/>
          <w:szCs w:val="32"/>
          <w:highlight w:val="none"/>
          <w:lang w:val="en-US" w:eastAsia="zh-CN" w:bidi="ar-SA"/>
        </w:rPr>
        <w:t>，确保耕地主要用于粮食和重要农产品生产。</w:t>
      </w:r>
    </w:p>
    <w:p w14:paraId="65332E92">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稳定蔬菜生产保供。</w:t>
      </w:r>
      <w:r>
        <w:rPr>
          <w:rFonts w:hint="eastAsia" w:ascii="仿宋_GB2312" w:hAnsi="仿宋_GB2312" w:eastAsia="仿宋_GB2312" w:cs="仿宋_GB2312"/>
          <w:b w:val="0"/>
          <w:bCs w:val="0"/>
          <w:color w:val="auto"/>
          <w:sz w:val="32"/>
          <w:szCs w:val="32"/>
          <w:highlight w:val="none"/>
          <w:lang w:val="en-US" w:eastAsia="zh-CN"/>
        </w:rPr>
        <w:t>压实</w:t>
      </w:r>
      <w:r>
        <w:rPr>
          <w:rFonts w:hint="eastAsia" w:ascii="仿宋_GB2312" w:hAnsi="仿宋_GB2312" w:eastAsia="仿宋_GB2312" w:cs="仿宋_GB2312"/>
          <w:b w:val="0"/>
          <w:bCs w:val="0"/>
          <w:color w:val="auto"/>
          <w:kern w:val="2"/>
          <w:sz w:val="32"/>
          <w:szCs w:val="32"/>
          <w:highlight w:val="none"/>
          <w:lang w:val="en-US" w:eastAsia="zh-CN" w:bidi="ar-SA"/>
        </w:rPr>
        <w:t>“菜篮子”区长责任制，建立全域统筹调度机制，优化蔬菜品种结构和区域布局，确保常年菜田面积稳定在7.5万亩。强化包括绿叶菜在内的地产蔬菜稳定供给，推进</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8000余亩蔬菜规模化</w:t>
      </w:r>
      <w:r>
        <w:rPr>
          <w:rFonts w:hint="eastAsia" w:ascii="仿宋_GB2312" w:hAnsi="仿宋_GB2312" w:eastAsia="仿宋_GB2312" w:cs="仿宋_GB2312"/>
          <w:b w:val="0"/>
          <w:bCs w:val="0"/>
          <w:color w:val="auto"/>
          <w:kern w:val="2"/>
          <w:sz w:val="32"/>
          <w:szCs w:val="32"/>
          <w:highlight w:val="none"/>
          <w:lang w:val="en-US" w:eastAsia="zh-CN" w:bidi="ar-SA"/>
        </w:rPr>
        <w:t>基地建设，增强蔬菜生产保供能力。保障蔬菜生产空间，优化土地集约利用模式，推进</w:t>
      </w:r>
      <w:r>
        <w:rPr>
          <w:rFonts w:hint="default" w:ascii="仿宋_GB2312" w:hAnsi="仿宋_GB2312" w:eastAsia="仿宋_GB2312" w:cs="仿宋_GB2312"/>
          <w:b w:val="0"/>
          <w:bCs w:val="0"/>
          <w:color w:val="auto"/>
          <w:kern w:val="2"/>
          <w:sz w:val="32"/>
          <w:szCs w:val="32"/>
          <w:highlight w:val="none"/>
          <w:lang w:val="en-US" w:eastAsia="zh-CN" w:bidi="ar-SA"/>
        </w:rPr>
        <w:t>老旧设施菜田</w:t>
      </w:r>
      <w:r>
        <w:rPr>
          <w:rFonts w:hint="eastAsia" w:ascii="仿宋_GB2312" w:hAnsi="仿宋_GB2312" w:eastAsia="仿宋_GB2312" w:cs="仿宋_GB2312"/>
          <w:b w:val="0"/>
          <w:bCs w:val="0"/>
          <w:color w:val="auto"/>
          <w:kern w:val="2"/>
          <w:sz w:val="32"/>
          <w:szCs w:val="32"/>
          <w:highlight w:val="none"/>
          <w:lang w:val="en-US" w:eastAsia="zh-CN" w:bidi="ar-SA"/>
        </w:rPr>
        <w:t>更新改造，建成2000亩集中连片的高标准设施菜田。</w:t>
      </w:r>
    </w:p>
    <w:p w14:paraId="2BA4058F">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促进畜牧产业发展。</w:t>
      </w:r>
      <w:r>
        <w:rPr>
          <w:rFonts w:hint="eastAsia" w:ascii="仿宋_GB2312" w:eastAsia="仿宋_GB2312" w:cs="DejaVu Sans"/>
          <w:color w:val="auto"/>
          <w:kern w:val="2"/>
          <w:sz w:val="32"/>
          <w:szCs w:val="32"/>
          <w:highlight w:val="none"/>
          <w:lang w:val="en-US" w:eastAsia="zh-CN" w:bidi="ar-SA"/>
        </w:rPr>
        <w:t>增强畜牧产业综合生产能力</w:t>
      </w:r>
      <w:r>
        <w:rPr>
          <w:rFonts w:hint="eastAsia" w:ascii="仿宋_GB2312" w:hAnsi="DejaVu Sans" w:eastAsia="仿宋_GB2312" w:cs="DejaVu Sans"/>
          <w:color w:val="auto"/>
          <w:kern w:val="2"/>
          <w:sz w:val="32"/>
          <w:szCs w:val="32"/>
          <w:highlight w:val="none"/>
          <w:lang w:val="en-US" w:eastAsia="zh-CN" w:bidi="ar-SA"/>
        </w:rPr>
        <w:t>，</w:t>
      </w:r>
      <w:r>
        <w:rPr>
          <w:rFonts w:hint="eastAsia" w:ascii="仿宋_GB2312" w:eastAsia="仿宋_GB2312" w:cs="DejaVu Sans"/>
          <w:color w:val="auto"/>
          <w:kern w:val="2"/>
          <w:sz w:val="32"/>
          <w:szCs w:val="32"/>
          <w:highlight w:val="none"/>
          <w:lang w:val="en-US" w:eastAsia="zh-CN" w:bidi="ar-SA"/>
        </w:rPr>
        <w:t>稳定生猪生产，</w:t>
      </w:r>
      <w:r>
        <w:rPr>
          <w:rFonts w:hint="eastAsia" w:ascii="仿宋_GB2312" w:hAnsi="仿宋_GB2312" w:eastAsia="仿宋_GB2312" w:cs="仿宋_GB2312"/>
          <w:color w:val="auto"/>
          <w:kern w:val="2"/>
          <w:sz w:val="32"/>
          <w:szCs w:val="32"/>
          <w:highlight w:val="none"/>
          <w:lang w:val="en-US" w:eastAsia="zh-CN" w:bidi="ar-SA"/>
        </w:rPr>
        <w:t>精准落实补栏增养、产能预警等措施，</w:t>
      </w:r>
      <w:r>
        <w:rPr>
          <w:rFonts w:hint="eastAsia" w:ascii="仿宋_GB2312" w:hAnsi="DejaVu Sans" w:eastAsia="仿宋_GB2312" w:cs="DejaVu Sans"/>
          <w:color w:val="auto"/>
          <w:kern w:val="2"/>
          <w:sz w:val="32"/>
          <w:szCs w:val="32"/>
          <w:highlight w:val="none"/>
          <w:lang w:val="en-US" w:eastAsia="zh-CN" w:bidi="ar-SA"/>
        </w:rPr>
        <w:t>保障畜禽产品安全稳定供应</w:t>
      </w:r>
      <w:r>
        <w:rPr>
          <w:rFonts w:hint="eastAsia" w:ascii="仿宋_GB2312" w:eastAsia="仿宋_GB2312" w:cs="DejaVu Sans"/>
          <w:color w:val="auto"/>
          <w:kern w:val="2"/>
          <w:sz w:val="32"/>
          <w:szCs w:val="32"/>
          <w:highlight w:val="none"/>
          <w:lang w:val="en-US" w:eastAsia="zh-CN" w:bidi="ar-SA"/>
        </w:rPr>
        <w:t>。坚持种养结合生态循环，支持立体多层畜禽养殖场建设和老旧牧场升级改造，加快养殖模式迭代升级，</w:t>
      </w:r>
      <w:r>
        <w:rPr>
          <w:rFonts w:hint="eastAsia" w:ascii="仿宋_GB2312" w:hAnsi="仿宋_GB2312" w:eastAsia="仿宋_GB2312" w:cs="仿宋_GB2312"/>
          <w:color w:val="auto"/>
          <w:kern w:val="2"/>
          <w:sz w:val="32"/>
          <w:szCs w:val="32"/>
          <w:highlight w:val="none"/>
          <w:lang w:val="en-US" w:eastAsia="zh-CN" w:bidi="ar-SA"/>
        </w:rPr>
        <w:t>配套智能化环境控制系统和自动化饲喂设备。</w:t>
      </w:r>
      <w:r>
        <w:rPr>
          <w:rFonts w:hint="eastAsia" w:ascii="仿宋_GB2312" w:hAnsi="仿宋_GB2312" w:eastAsia="仿宋_GB2312" w:cs="仿宋_GB2312"/>
          <w:strike w:val="0"/>
          <w:dstrike w:val="0"/>
          <w:color w:val="auto"/>
          <w:kern w:val="2"/>
          <w:sz w:val="32"/>
          <w:szCs w:val="32"/>
          <w:highlight w:val="none"/>
          <w:lang w:val="en-US" w:eastAsia="zh-CN" w:bidi="ar-SA"/>
        </w:rPr>
        <w:t>完善</w:t>
      </w:r>
      <w:r>
        <w:rPr>
          <w:rFonts w:hint="eastAsia" w:ascii="仿宋_GB2312" w:hAnsi="仿宋_GB2312" w:eastAsia="仿宋_GB2312" w:cs="仿宋_GB2312"/>
          <w:color w:val="auto"/>
          <w:kern w:val="2"/>
          <w:sz w:val="32"/>
          <w:szCs w:val="32"/>
          <w:highlight w:val="none"/>
          <w:lang w:val="en-US" w:eastAsia="zh-CN" w:bidi="ar-SA"/>
        </w:rPr>
        <w:t>动物防疫体系，推进洗消中心建设，强化车辆、人员及物资的消毒隔离措施，提升牧场生物安全水平和重大疫情抗风险能力。</w:t>
      </w:r>
    </w:p>
    <w:p w14:paraId="3123817B">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default" w:ascii="仿宋_GB2312" w:hAnsi="仿宋_GB2312" w:eastAsia="仿宋_GB2312" w:cs="仿宋_GB2312"/>
          <w:b w:val="0"/>
          <w:bCs w:val="0"/>
          <w:strike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培育现代渔业体系。</w:t>
      </w:r>
      <w:r>
        <w:rPr>
          <w:rFonts w:hint="default" w:ascii="仿宋_GB2312" w:hAnsi="仿宋_GB2312" w:eastAsia="仿宋_GB2312" w:cs="仿宋_GB2312"/>
          <w:b w:val="0"/>
          <w:bCs w:val="0"/>
          <w:color w:val="auto"/>
          <w:kern w:val="2"/>
          <w:sz w:val="32"/>
          <w:szCs w:val="32"/>
          <w:highlight w:val="none"/>
          <w:lang w:val="en-US" w:eastAsia="zh-CN" w:bidi="ar-SA"/>
        </w:rPr>
        <w:t>推进水产养殖业高质量发展，稳定水产养殖面积和规模</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实施生态健康养殖技术模式、养殖尾水治理模式，推进水产技术推广体系建设，提升产业标准化水平。提升设施渔业现代化水平，推进智慧水产养殖，引导人工智能等现代信息技术与水产养殖深度融合，实现水产养殖基地集约化生产和智能化管理。</w:t>
      </w:r>
    </w:p>
    <w:p w14:paraId="6A23231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eastAsia="仿宋_GB2312"/>
          <w:b w:val="0"/>
          <w:bCs w:val="0"/>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做强特色经济产业。</w:t>
      </w:r>
      <w:r>
        <w:rPr>
          <w:rFonts w:hint="eastAsia" w:ascii="仿宋_GB2312" w:hAnsi="仿宋_GB2312" w:eastAsia="仿宋_GB2312" w:cs="仿宋_GB2312"/>
          <w:b w:val="0"/>
          <w:bCs w:val="0"/>
          <w:color w:val="auto"/>
          <w:kern w:val="2"/>
          <w:sz w:val="32"/>
          <w:szCs w:val="32"/>
          <w:highlight w:val="none"/>
          <w:lang w:val="en-US" w:eastAsia="zh-CN" w:bidi="ar-SA"/>
        </w:rPr>
        <w:t>推动食用菌产业提质增效，</w:t>
      </w:r>
      <w:r>
        <w:rPr>
          <w:rFonts w:hint="eastAsia" w:ascii="仿宋_GB2312" w:hAnsi="仿宋_GB2312" w:eastAsia="仿宋_GB2312" w:cs="仿宋_GB2312"/>
          <w:b w:val="0"/>
          <w:bCs w:val="0"/>
          <w:color w:val="auto"/>
          <w:kern w:val="2"/>
          <w:sz w:val="32"/>
          <w:szCs w:val="32"/>
          <w:highlight w:val="none"/>
          <w:u w:val="none"/>
          <w:lang w:val="en-US" w:eastAsia="zh-CN" w:bidi="ar-SA"/>
        </w:rPr>
        <w:t>建立分类指导、梯度推进的标准化生产体系，引培周年化袋栽生产企业，推广</w:t>
      </w:r>
      <w:r>
        <w:rPr>
          <w:rFonts w:hint="eastAsia" w:ascii="仿宋_GB2312" w:hAnsi="仿宋_GB2312" w:eastAsia="仿宋_GB2312" w:cs="仿宋_GB2312"/>
          <w:b w:val="0"/>
          <w:bCs w:val="0"/>
          <w:color w:val="auto"/>
          <w:kern w:val="2"/>
          <w:sz w:val="32"/>
          <w:szCs w:val="32"/>
          <w:highlight w:val="none"/>
          <w:lang w:val="en-US" w:eastAsia="zh-CN" w:bidi="ar-SA"/>
        </w:rPr>
        <w:t>产后预处理技术，开发高附加值产品，引导精深加工企业向食用菌优势产区集聚。前瞻布局药食同源产业，建设西红花</w:t>
      </w:r>
      <w:r>
        <w:rPr>
          <w:rFonts w:hint="eastAsia" w:ascii="仿宋_GB2312" w:hAnsi="仿宋_GB2312" w:eastAsia="仿宋_GB2312" w:cs="仿宋_GB2312"/>
          <w:b w:val="0"/>
          <w:bCs w:val="0"/>
          <w:color w:val="auto"/>
          <w:kern w:val="2"/>
          <w:sz w:val="32"/>
          <w:szCs w:val="32"/>
          <w:highlight w:val="none"/>
          <w:u w:val="none"/>
          <w:lang w:val="en-US" w:eastAsia="zh-CN" w:bidi="ar-SA"/>
        </w:rPr>
        <w:t>、人参等</w:t>
      </w:r>
      <w:r>
        <w:rPr>
          <w:rFonts w:hint="eastAsia" w:ascii="仿宋_GB2312" w:hAnsi="仿宋_GB2312" w:eastAsia="仿宋_GB2312" w:cs="仿宋_GB2312"/>
          <w:b w:val="0"/>
          <w:bCs w:val="0"/>
          <w:color w:val="auto"/>
          <w:kern w:val="2"/>
          <w:sz w:val="32"/>
          <w:szCs w:val="32"/>
          <w:highlight w:val="none"/>
          <w:lang w:val="en-US" w:eastAsia="zh-CN" w:bidi="ar-SA"/>
        </w:rPr>
        <w:t>中草药为代表的绿色标准化种植基地，围绕功能性食品、保健品、中药饮片等领域，开展高附加值产品研发创新和市场开拓。聚焦特色林果产业，</w:t>
      </w:r>
      <w:r>
        <w:rPr>
          <w:rFonts w:hint="default" w:ascii="仿宋_GB2312" w:hAnsi="仿宋_GB2312" w:eastAsia="仿宋_GB2312" w:cs="仿宋_GB2312"/>
          <w:b w:val="0"/>
          <w:bCs w:val="0"/>
          <w:color w:val="auto"/>
          <w:kern w:val="2"/>
          <w:sz w:val="32"/>
          <w:szCs w:val="32"/>
          <w:highlight w:val="none"/>
          <w:lang w:val="en-US" w:eastAsia="zh-CN" w:bidi="ar-SA"/>
        </w:rPr>
        <w:t>在新技术攻关、新品种引育、成果转化推广等领域持续深耕</w:t>
      </w:r>
      <w:r>
        <w:rPr>
          <w:rFonts w:hint="eastAsia" w:ascii="仿宋_GB2312" w:hAnsi="仿宋_GB2312" w:eastAsia="仿宋_GB2312" w:cs="仿宋_GB2312"/>
          <w:b w:val="0"/>
          <w:bCs w:val="0"/>
          <w:color w:val="auto"/>
          <w:kern w:val="2"/>
          <w:sz w:val="32"/>
          <w:szCs w:val="32"/>
          <w:highlight w:val="none"/>
          <w:lang w:val="en-US" w:eastAsia="zh-CN" w:bidi="ar-SA"/>
        </w:rPr>
        <w:t>，推动品种培优、品质提升。</w:t>
      </w:r>
      <w:r>
        <w:rPr>
          <w:rFonts w:hint="eastAsia" w:ascii="仿宋_GB2312" w:hAnsi="仿宋_GB2312" w:eastAsia="仿宋_GB2312" w:cs="仿宋_GB2312"/>
          <w:b w:val="0"/>
          <w:bCs w:val="0"/>
          <w:color w:val="auto"/>
          <w:sz w:val="32"/>
          <w:szCs w:val="32"/>
          <w:highlight w:val="none"/>
          <w:lang w:val="en-US" w:eastAsia="zh-CN"/>
        </w:rPr>
        <w:t>推动花卉产业提档升级，拓展崇明水仙等特色球根花卉种植规模，打造功能型花卉特色品种体系，深化“花卉+”业态融合示范。</w:t>
      </w:r>
      <w:r>
        <w:rPr>
          <w:rFonts w:hint="eastAsia" w:ascii="仿宋_GB2312" w:eastAsia="仿宋_GB2312"/>
          <w:b w:val="0"/>
          <w:bCs w:val="0"/>
          <w:color w:val="auto"/>
          <w:sz w:val="32"/>
          <w:szCs w:val="32"/>
          <w:highlight w:val="none"/>
          <w:lang w:val="en-US" w:eastAsia="zh-CN"/>
        </w:rPr>
        <w:t>壮大家门口产业，立足乡村资源禀赋，探索发展白山羊、水仙花、稻虾混养等农业产业，联动生态康养、田园综合体等乡村文旅形态，培育适度规模、高辨识率的乡村产业链，实现产业在村、增收在村。</w:t>
      </w:r>
    </w:p>
    <w:p w14:paraId="25081E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2.加快都市现代绿色农业高质量发展</w:t>
      </w:r>
    </w:p>
    <w:p w14:paraId="323A2DE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提升绿色农业发展能级。</w:t>
      </w:r>
      <w:r>
        <w:rPr>
          <w:rFonts w:hint="eastAsia" w:ascii="仿宋_GB2312" w:hAnsi="仿宋_GB2312" w:eastAsia="仿宋_GB2312" w:cs="仿宋_GB2312"/>
          <w:b w:val="0"/>
          <w:bCs w:val="0"/>
          <w:color w:val="auto"/>
          <w:kern w:val="2"/>
          <w:sz w:val="32"/>
          <w:szCs w:val="32"/>
          <w:highlight w:val="none"/>
          <w:lang w:val="en-US" w:eastAsia="zh-CN" w:bidi="ar-SA"/>
        </w:rPr>
        <w:t>加快健全农业绿色发展体制机制，</w:t>
      </w:r>
      <w:r>
        <w:rPr>
          <w:rFonts w:hint="eastAsia" w:ascii="仿宋_GB2312" w:hAnsi="仿宋_GB2312" w:eastAsia="仿宋_GB2312" w:cs="仿宋_GB2312"/>
          <w:b w:val="0"/>
          <w:bCs w:val="0"/>
          <w:color w:val="auto"/>
          <w:sz w:val="32"/>
          <w:szCs w:val="32"/>
          <w:highlight w:val="none"/>
          <w:lang w:val="en-US" w:eastAsia="zh-CN"/>
        </w:rPr>
        <w:t>促进良田良种良机良法集成增效，</w:t>
      </w:r>
      <w:r>
        <w:rPr>
          <w:rFonts w:hint="eastAsia" w:ascii="仿宋_GB2312" w:hAnsi="仿宋_GB2312" w:eastAsia="仿宋_GB2312" w:cs="仿宋_GB2312"/>
          <w:b w:val="0"/>
          <w:bCs w:val="0"/>
          <w:color w:val="auto"/>
          <w:kern w:val="2"/>
          <w:sz w:val="32"/>
          <w:szCs w:val="32"/>
          <w:highlight w:val="none"/>
          <w:lang w:val="en-US" w:eastAsia="zh-CN" w:bidi="ar-SA"/>
        </w:rPr>
        <w:t>筑牢生态底盘。</w:t>
      </w:r>
      <w:r>
        <w:rPr>
          <w:rFonts w:hint="eastAsia" w:ascii="仿宋_GB2312" w:hAnsi="仿宋_GB2312" w:eastAsia="仿宋_GB2312" w:cs="仿宋_GB2312"/>
          <w:b w:val="0"/>
          <w:bCs w:val="0"/>
          <w:color w:val="auto"/>
          <w:sz w:val="32"/>
          <w:szCs w:val="32"/>
          <w:highlight w:val="none"/>
          <w:lang w:val="en-US" w:eastAsia="zh-CN"/>
        </w:rPr>
        <w:t>强化生物技术创新与应用，深度挖掘D2P蛋白制造、RNA干扰等前沿技术潜力，</w:t>
      </w:r>
      <w:r>
        <w:rPr>
          <w:rFonts w:hint="default" w:ascii="仿宋_GB2312" w:hAnsi="仿宋_GB2312" w:eastAsia="仿宋_GB2312" w:cs="仿宋_GB2312"/>
          <w:b w:val="0"/>
          <w:bCs w:val="0"/>
          <w:color w:val="auto"/>
          <w:sz w:val="32"/>
          <w:szCs w:val="32"/>
          <w:highlight w:val="none"/>
          <w:lang w:val="en-US" w:eastAsia="zh-CN"/>
        </w:rPr>
        <w:t>研发富含氨基酸、维生素等有机质的新型有机肥料</w:t>
      </w:r>
      <w:r>
        <w:rPr>
          <w:rFonts w:hint="eastAsia" w:ascii="仿宋_GB2312" w:hAnsi="仿宋_GB2312" w:eastAsia="仿宋_GB2312" w:cs="仿宋_GB2312"/>
          <w:b w:val="0"/>
          <w:bCs w:val="0"/>
          <w:color w:val="auto"/>
          <w:sz w:val="32"/>
          <w:szCs w:val="32"/>
          <w:highlight w:val="none"/>
          <w:lang w:val="en-US" w:eastAsia="zh-CN"/>
        </w:rPr>
        <w:t>和高效低毒</w:t>
      </w:r>
      <w:r>
        <w:rPr>
          <w:rFonts w:hint="eastAsia" w:ascii="仿宋_GB2312" w:hAnsi="仿宋_GB2312" w:eastAsia="仿宋_GB2312" w:cs="仿宋_GB2312"/>
          <w:b w:val="0"/>
          <w:bCs w:val="0"/>
          <w:strike w:val="0"/>
          <w:dstrike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val="en-US" w:eastAsia="zh-CN"/>
        </w:rPr>
        <w:t>生物农药，全面提升绿色农业生产效率与品质，筑牢绿色农业基因根基。</w:t>
      </w:r>
      <w:r>
        <w:rPr>
          <w:rFonts w:hint="default" w:ascii="仿宋_GB2312" w:hAnsi="仿宋_GB2312" w:eastAsia="仿宋_GB2312" w:cs="仿宋_GB2312"/>
          <w:b w:val="0"/>
          <w:bCs w:val="0"/>
          <w:color w:val="auto"/>
          <w:sz w:val="32"/>
          <w:szCs w:val="32"/>
          <w:highlight w:val="none"/>
          <w:lang w:val="en-US" w:eastAsia="zh-CN"/>
        </w:rPr>
        <w:t>提升农机在绿色生产领域的应用</w:t>
      </w:r>
      <w:r>
        <w:rPr>
          <w:rFonts w:hint="eastAsia" w:ascii="仿宋_GB2312" w:hAnsi="仿宋_GB2312" w:eastAsia="仿宋_GB2312" w:cs="仿宋_GB2312"/>
          <w:b w:val="0"/>
          <w:bCs w:val="0"/>
          <w:color w:val="auto"/>
          <w:sz w:val="32"/>
          <w:szCs w:val="32"/>
          <w:highlight w:val="none"/>
          <w:lang w:val="en-US" w:eastAsia="zh-CN"/>
        </w:rPr>
        <w:t>，加快精量播种、全自动移栽、无人除草、机械化收获等关键环节的装备研发生产、示范应用，助力化肥农药</w:t>
      </w:r>
      <w:r>
        <w:rPr>
          <w:rFonts w:hint="eastAsia" w:ascii="仿宋_GB2312" w:hAnsi="仿宋_GB2312" w:eastAsia="仿宋_GB2312" w:cs="仿宋_GB2312"/>
          <w:b w:val="0"/>
          <w:bCs w:val="0"/>
          <w:strike w:val="0"/>
          <w:dstrike w:val="0"/>
          <w:color w:val="auto"/>
          <w:sz w:val="32"/>
          <w:szCs w:val="32"/>
          <w:highlight w:val="none"/>
          <w:lang w:val="en-US" w:eastAsia="zh-CN"/>
        </w:rPr>
        <w:t>施</w:t>
      </w:r>
      <w:r>
        <w:rPr>
          <w:rFonts w:hint="eastAsia" w:ascii="仿宋_GB2312" w:hAnsi="仿宋_GB2312" w:eastAsia="仿宋_GB2312" w:cs="仿宋_GB2312"/>
          <w:b w:val="0"/>
          <w:bCs w:val="0"/>
          <w:color w:val="auto"/>
          <w:sz w:val="32"/>
          <w:szCs w:val="32"/>
          <w:highlight w:val="none"/>
          <w:lang w:val="en-US" w:eastAsia="zh-CN"/>
        </w:rPr>
        <w:t>用量持续下降。加快构建优良的现代耕作制度，集成应用病虫草害绿色防控、水肥一体化、土壤保育等绿色高产高效技术，协同推进粮食、蔬菜产业绿色升级。推广绿色健康养殖技术，发展低碳循环水养殖、节水节能畜禽清洁养殖、精准饲喂工艺等生态模式，打造生态智慧养殖体系。构建绿色农业综合大循环，推行绿色技术促进农业生产小循环，推进种养结合促进产业发展中循环，发展绿色经济促进区域层面大循环，实现农业资源利用集约化、投入品减量化、废弃物资源化、产业模式生态化。</w:t>
      </w:r>
    </w:p>
    <w:p w14:paraId="62EFD3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textAlignment w:val="auto"/>
        <w:rPr>
          <w:rFonts w:hint="default" w:ascii="仿宋_GB2312" w:hAnsi="仿宋_GB2312" w:eastAsia="仿宋_GB2312" w:cs="仿宋_GB2312"/>
          <w:b/>
          <w:bCs/>
          <w:color w:val="FF0000"/>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加快发展生态低碳农业。</w:t>
      </w:r>
      <w:r>
        <w:rPr>
          <w:rFonts w:hint="eastAsia" w:ascii="仿宋_GB2312" w:hAnsi="仿宋_GB2312" w:eastAsia="仿宋_GB2312" w:cs="仿宋_GB2312"/>
          <w:color w:val="auto"/>
          <w:sz w:val="32"/>
          <w:szCs w:val="32"/>
          <w:highlight w:val="none"/>
          <w:lang w:val="en-US" w:eastAsia="zh-CN"/>
        </w:rPr>
        <w:t>坚定推进长江“十年禁渔”生态保护工程，完善跨区域、跨部门联合执法机制，开展交界水域、长江口禁捕管理区执法行动，发挥禁捕智能管控平台作用。提升秸秆综合利用水平，促进秸秆还田科学化、标准化、规范化，推广秸秆肥料化、基料化、饲料化、燃料化利用，创新实践秸秆养畜、秸秆沃土模式，健全秸秆收储运服务体系。推动畜禽养殖粪污处理设施与模式升级换代，大力推广生态循环养殖模式，鼓励牧场与周边区域协同，因地制宜实施粪肥科学还田，在新场建设和老旧养殖场改造中，积极推广养殖业减污降碳协同增效模式。健全水产养殖尾水治理长效管理机制，实施尾水排放报备制度，严格落实水产养殖尾水排放地方标准，做好尾水处理设施设备运行维护。规范发展渔光互补绿色低碳模式，高效盘活养殖水域空间资源，依托光伏新技术科学布局发电设施，强化发电与养殖协同管理，提升土地综合利用效率与清洁能源供给能力。</w:t>
      </w:r>
    </w:p>
    <w:p w14:paraId="0F6C7F33">
      <w:pPr>
        <w:pStyle w:val="5"/>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firstLine="643" w:firstLineChars="200"/>
        <w:jc w:val="both"/>
        <w:textAlignment w:val="auto"/>
        <w:rPr>
          <w:rFonts w:hint="default"/>
          <w:b w:val="0"/>
          <w:bCs w:val="0"/>
          <w:color w:val="auto"/>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优化农业社会化服务体系。</w:t>
      </w:r>
      <w:r>
        <w:rPr>
          <w:rFonts w:hint="eastAsia" w:ascii="仿宋_GB2312" w:hAnsi="仿宋_GB2312" w:eastAsia="仿宋_GB2312" w:cs="仿宋_GB2312"/>
          <w:b w:val="0"/>
          <w:bCs w:val="0"/>
          <w:color w:val="auto"/>
          <w:kern w:val="2"/>
          <w:sz w:val="32"/>
          <w:szCs w:val="32"/>
          <w:highlight w:val="none"/>
          <w:lang w:val="en-US" w:eastAsia="zh-CN" w:bidi="ar-SA"/>
        </w:rPr>
        <w:t>发挥区供销社农资供应主渠道作用，构建“集采集配+终端服务”双轮驱动体系，</w:t>
      </w:r>
      <w:r>
        <w:rPr>
          <w:rFonts w:hint="eastAsia" w:ascii="仿宋_GB2312" w:hAnsi="仿宋_GB2312" w:eastAsia="仿宋_GB2312" w:cs="仿宋_GB2312"/>
          <w:b w:val="0"/>
          <w:bCs w:val="0"/>
          <w:color w:val="auto"/>
          <w:kern w:val="2"/>
          <w:sz w:val="32"/>
          <w:szCs w:val="32"/>
          <w:highlight w:val="none"/>
          <w:u w:val="none"/>
          <w:lang w:val="en-US" w:eastAsia="zh-CN" w:bidi="ar-SA"/>
        </w:rPr>
        <w:t>完善绿色农药供应服务网络，全面推动农药包装废弃物与地布地膜规范回收转运处置，</w:t>
      </w:r>
      <w:r>
        <w:rPr>
          <w:rFonts w:hint="eastAsia" w:ascii="仿宋_GB2312" w:hAnsi="仿宋_GB2312" w:eastAsia="仿宋_GB2312" w:cs="仿宋_GB2312"/>
          <w:b w:val="0"/>
          <w:bCs w:val="0"/>
          <w:color w:val="auto"/>
          <w:kern w:val="2"/>
          <w:sz w:val="32"/>
          <w:szCs w:val="32"/>
          <w:highlight w:val="none"/>
          <w:lang w:val="en-US" w:eastAsia="zh-CN" w:bidi="ar-SA"/>
        </w:rPr>
        <w:t>提升绿色农资服务、农业废弃物规范回收处置服务水平</w:t>
      </w:r>
      <w:r>
        <w:rPr>
          <w:rFonts w:hint="eastAsia" w:ascii="仿宋_GB2312" w:hAnsi="仿宋_GB2312" w:eastAsia="仿宋_GB2312" w:cs="仿宋_GB2312"/>
          <w:b w:val="0"/>
          <w:bCs w:val="0"/>
          <w:color w:val="auto"/>
          <w:kern w:val="2"/>
          <w:sz w:val="32"/>
          <w:szCs w:val="32"/>
          <w:highlight w:val="none"/>
          <w:u w:val="none"/>
          <w:lang w:val="en-US" w:eastAsia="zh-CN" w:bidi="ar-SA"/>
        </w:rPr>
        <w:t>。实施农机社会化服务“1+4+N”</w:t>
      </w:r>
      <w:r>
        <w:rPr>
          <w:rStyle w:val="15"/>
          <w:rFonts w:hint="eastAsia" w:ascii="仿宋_GB2312" w:hAnsi="仿宋_GB2312" w:eastAsia="仿宋_GB2312" w:cs="仿宋_GB2312"/>
          <w:b w:val="0"/>
          <w:bCs w:val="0"/>
          <w:color w:val="auto"/>
          <w:kern w:val="2"/>
          <w:sz w:val="32"/>
          <w:szCs w:val="32"/>
          <w:highlight w:val="none"/>
          <w:u w:val="none"/>
          <w:lang w:val="en-US" w:eastAsia="zh-CN" w:bidi="ar-SA"/>
        </w:rPr>
        <w:footnoteReference w:id="1"/>
      </w:r>
      <w:r>
        <w:rPr>
          <w:rFonts w:hint="eastAsia" w:ascii="仿宋_GB2312" w:hAnsi="仿宋_GB2312" w:eastAsia="仿宋_GB2312" w:cs="仿宋_GB2312"/>
          <w:b w:val="0"/>
          <w:bCs w:val="0"/>
          <w:color w:val="auto"/>
          <w:kern w:val="2"/>
          <w:sz w:val="32"/>
          <w:szCs w:val="32"/>
          <w:highlight w:val="none"/>
          <w:u w:val="none"/>
          <w:lang w:val="en-US" w:eastAsia="zh-CN" w:bidi="ar-SA"/>
        </w:rPr>
        <w:t>三级服务体系建设，整合全区农机资源，加强“耕、种、管、收”全流程服务，健全“购、修、易、培”农机保障体系，扩大“全程机械化+综合农事”服务模式覆盖范围。发展农业领域低空经济，打造无人植保、饲料投喂、作物监测等各类应用场景，到2030年，全区农用无人机保有量</w:t>
      </w:r>
      <w:r>
        <w:rPr>
          <w:rFonts w:hint="eastAsia" w:ascii="仿宋_GB2312" w:hAnsi="仿宋_GB2312" w:eastAsia="仿宋_GB2312" w:cs="仿宋_GB2312"/>
          <w:color w:val="auto"/>
          <w:kern w:val="2"/>
          <w:sz w:val="32"/>
          <w:szCs w:val="32"/>
          <w:highlight w:val="none"/>
          <w:lang w:val="en-US" w:eastAsia="zh-CN" w:bidi="ar-SA"/>
        </w:rPr>
        <w:t>300</w:t>
      </w:r>
      <w:r>
        <w:rPr>
          <w:rFonts w:hint="eastAsia" w:ascii="仿宋_GB2312" w:hAnsi="仿宋_GB2312" w:eastAsia="仿宋_GB2312" w:cs="仿宋_GB2312"/>
          <w:b w:val="0"/>
          <w:bCs w:val="0"/>
          <w:color w:val="auto"/>
          <w:kern w:val="2"/>
          <w:sz w:val="32"/>
          <w:szCs w:val="32"/>
          <w:highlight w:val="none"/>
          <w:u w:val="none"/>
          <w:lang w:val="en-US" w:eastAsia="zh-CN" w:bidi="ar-SA"/>
        </w:rPr>
        <w:t>台以上，年作业面积80万亩</w:t>
      </w:r>
      <w:r>
        <w:rPr>
          <w:rFonts w:hint="eastAsia" w:ascii="仿宋_GB2312" w:hAnsi="仿宋_GB2312" w:eastAsia="仿宋_GB2312" w:cs="仿宋_GB2312"/>
          <w:color w:val="auto"/>
          <w:kern w:val="2"/>
          <w:sz w:val="32"/>
          <w:szCs w:val="32"/>
          <w:highlight w:val="none"/>
          <w:lang w:val="en-US" w:eastAsia="zh-CN" w:bidi="ar-SA"/>
        </w:rPr>
        <w:t>次</w:t>
      </w:r>
      <w:r>
        <w:rPr>
          <w:rFonts w:hint="eastAsia" w:ascii="仿宋_GB2312" w:hAnsi="仿宋_GB2312" w:eastAsia="仿宋_GB2312" w:cs="仿宋_GB2312"/>
          <w:b w:val="0"/>
          <w:bCs w:val="0"/>
          <w:color w:val="auto"/>
          <w:kern w:val="2"/>
          <w:sz w:val="32"/>
          <w:szCs w:val="32"/>
          <w:highlight w:val="none"/>
          <w:u w:val="none"/>
          <w:lang w:val="en-US" w:eastAsia="zh-CN" w:bidi="ar-SA"/>
        </w:rPr>
        <w:t>以上。</w:t>
      </w:r>
      <w:r>
        <w:rPr>
          <w:rFonts w:hint="eastAsia" w:ascii="仿宋_GB2312" w:hAnsi="仿宋_GB2312" w:eastAsia="仿宋_GB2312" w:cs="仿宋_GB2312"/>
          <w:b w:val="0"/>
          <w:bCs w:val="0"/>
          <w:color w:val="auto"/>
          <w:sz w:val="32"/>
          <w:szCs w:val="32"/>
          <w:highlight w:val="none"/>
          <w:lang w:val="en-US" w:eastAsia="zh-CN"/>
        </w:rPr>
        <w:t>提升稻米产业延伸服务，建设布局合理、层次分明的农事综合服务中心，</w:t>
      </w:r>
      <w:r>
        <w:rPr>
          <w:rFonts w:hint="eastAsia" w:ascii="仿宋_GB2312" w:hAnsi="仿宋_GB2312" w:eastAsia="仿宋_GB2312" w:cs="仿宋_GB2312"/>
          <w:strike w:val="0"/>
          <w:dstrike w:val="0"/>
          <w:color w:val="auto"/>
          <w:sz w:val="32"/>
          <w:szCs w:val="32"/>
          <w:highlight w:val="none"/>
          <w:lang w:val="en-US" w:eastAsia="zh-CN"/>
        </w:rPr>
        <w:t>有机整合</w:t>
      </w:r>
      <w:r>
        <w:rPr>
          <w:rFonts w:hint="eastAsia" w:ascii="仿宋_GB2312" w:hAnsi="仿宋_GB2312" w:eastAsia="仿宋_GB2312" w:cs="仿宋_GB2312"/>
          <w:color w:val="auto"/>
          <w:sz w:val="32"/>
          <w:szCs w:val="32"/>
          <w:highlight w:val="none"/>
          <w:lang w:val="en-US" w:eastAsia="zh-CN"/>
        </w:rPr>
        <w:t>育秧、烘干、仓储、加工、农机服务、农资服务等功能，</w:t>
      </w:r>
      <w:r>
        <w:rPr>
          <w:rFonts w:hint="eastAsia" w:ascii="仿宋_GB2312" w:hAnsi="仿宋_GB2312" w:eastAsia="仿宋_GB2312" w:cs="仿宋_GB2312"/>
          <w:b w:val="0"/>
          <w:bCs w:val="0"/>
          <w:color w:val="auto"/>
          <w:kern w:val="2"/>
          <w:sz w:val="32"/>
          <w:szCs w:val="32"/>
          <w:highlight w:val="none"/>
          <w:lang w:val="en-US" w:eastAsia="zh-CN" w:bidi="ar-SA"/>
        </w:rPr>
        <w:t>逐步将机插秧服务能力提升至10万亩以上，全区粮食烘干能力提升至90%左右，</w:t>
      </w:r>
      <w:r>
        <w:rPr>
          <w:rFonts w:hint="eastAsia" w:ascii="仿宋_GB2312" w:hAnsi="仿宋_GB2312" w:eastAsia="仿宋_GB2312" w:cs="仿宋_GB2312"/>
          <w:b w:val="0"/>
          <w:bCs w:val="0"/>
          <w:color w:val="auto"/>
          <w:sz w:val="32"/>
          <w:szCs w:val="32"/>
          <w:highlight w:val="none"/>
          <w:lang w:val="en-US" w:eastAsia="zh-CN"/>
        </w:rPr>
        <w:t>建立健全粮食收储体系</w:t>
      </w:r>
      <w:r>
        <w:rPr>
          <w:rFonts w:hint="eastAsia" w:ascii="仿宋_GB2312" w:hAnsi="仿宋_GB2312" w:eastAsia="仿宋_GB2312" w:cs="仿宋_GB2312"/>
          <w:b w:val="0"/>
          <w:bCs w:val="0"/>
          <w:color w:val="auto"/>
          <w:kern w:val="2"/>
          <w:sz w:val="32"/>
          <w:szCs w:val="32"/>
          <w:highlight w:val="none"/>
          <w:lang w:val="en-US" w:eastAsia="zh-CN" w:bidi="ar-SA"/>
        </w:rPr>
        <w:t>。完善畜禽屠宰体系建设，</w:t>
      </w:r>
      <w:r>
        <w:rPr>
          <w:rFonts w:hint="eastAsia" w:ascii="仿宋_GB2312" w:hAnsi="仿宋_GB2312" w:eastAsia="仿宋_GB2312" w:cs="仿宋_GB2312"/>
          <w:b w:val="0"/>
          <w:bCs w:val="0"/>
          <w:color w:val="auto"/>
          <w:kern w:val="2"/>
          <w:sz w:val="32"/>
          <w:szCs w:val="32"/>
          <w:highlight w:val="none"/>
          <w:u w:val="none"/>
          <w:lang w:val="en-US" w:eastAsia="zh-CN" w:bidi="ar-SA"/>
        </w:rPr>
        <w:t>发挥东西部白山羊屠宰中心作用，实施白山羊集中化、标准化的屠宰加工与分割包装</w:t>
      </w:r>
      <w:r>
        <w:rPr>
          <w:rFonts w:hint="eastAsia" w:ascii="仿宋_GB2312" w:hAnsi="仿宋_GB2312" w:eastAsia="仿宋_GB2312" w:cs="仿宋_GB2312"/>
          <w:b w:val="0"/>
          <w:bCs w:val="0"/>
          <w:strike w:val="0"/>
          <w:dstrike w:val="0"/>
          <w:color w:val="auto"/>
          <w:kern w:val="2"/>
          <w:sz w:val="32"/>
          <w:szCs w:val="32"/>
          <w:highlight w:val="none"/>
          <w:u w:val="none"/>
          <w:lang w:val="en-US" w:eastAsia="zh-CN" w:bidi="ar-SA"/>
        </w:rPr>
        <w:t>，</w:t>
      </w:r>
      <w:r>
        <w:rPr>
          <w:rFonts w:hint="eastAsia" w:ascii="仿宋_GB2312" w:hAnsi="仿宋_GB2312" w:eastAsia="仿宋_GB2312" w:cs="仿宋_GB2312"/>
          <w:b w:val="0"/>
          <w:bCs w:val="0"/>
          <w:color w:val="auto"/>
          <w:kern w:val="2"/>
          <w:sz w:val="32"/>
          <w:szCs w:val="32"/>
          <w:highlight w:val="none"/>
          <w:u w:val="none"/>
          <w:lang w:val="en-US" w:eastAsia="zh-CN" w:bidi="ar-SA"/>
        </w:rPr>
        <w:t>补齐产业链条，</w:t>
      </w:r>
      <w:r>
        <w:rPr>
          <w:rFonts w:hint="eastAsia" w:ascii="仿宋_GB2312" w:hAnsi="仿宋_GB2312" w:eastAsia="仿宋_GB2312"/>
          <w:sz w:val="32"/>
          <w:highlight w:val="none"/>
          <w:lang w:val="en-US" w:eastAsia="zh-CN"/>
        </w:rPr>
        <w:t>促进品牌化、市场化发展</w:t>
      </w:r>
      <w:r>
        <w:rPr>
          <w:rFonts w:hint="eastAsia" w:ascii="仿宋_GB2312" w:hAnsi="仿宋_GB2312" w:eastAsia="仿宋_GB2312" w:cs="仿宋_GB2312"/>
          <w:b w:val="0"/>
          <w:bCs w:val="0"/>
          <w:color w:val="auto"/>
          <w:kern w:val="2"/>
          <w:sz w:val="32"/>
          <w:szCs w:val="32"/>
          <w:highlight w:val="none"/>
          <w:u w:val="none"/>
          <w:lang w:val="en-US" w:eastAsia="zh-CN" w:bidi="ar-SA"/>
        </w:rPr>
        <w:t>。</w:t>
      </w:r>
    </w:p>
    <w:p w14:paraId="598E7AC6">
      <w:pPr>
        <w:keepNext w:val="0"/>
        <w:keepLines w:val="0"/>
        <w:pageBreakBefore w:val="0"/>
        <w:widowControl w:val="0"/>
        <w:kinsoku/>
        <w:wordWrap/>
        <w:overflowPunct/>
        <w:topLinePunct w:val="0"/>
        <w:autoSpaceDE/>
        <w:autoSpaceDN/>
        <w:bidi w:val="0"/>
        <w:adjustRightInd/>
        <w:spacing w:line="560" w:lineRule="exact"/>
        <w:ind w:righ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构建“崇明鲜品”速达市区体系。</w:t>
      </w:r>
      <w:r>
        <w:rPr>
          <w:rFonts w:hint="eastAsia" w:ascii="仿宋_GB2312" w:hAnsi="仿宋_GB2312" w:eastAsia="仿宋_GB2312" w:cs="仿宋_GB2312"/>
          <w:color w:val="auto"/>
          <w:kern w:val="2"/>
          <w:sz w:val="32"/>
          <w:szCs w:val="32"/>
          <w:highlight w:val="none"/>
          <w:lang w:val="en-US" w:eastAsia="zh-CN" w:bidi="ar-SA"/>
        </w:rPr>
        <w:t>充分发挥生态农业优势，塑造“新鲜速达、优质优价”品牌形象，以“鲜”为核心竞争力，通过技术创新、链条延伸和价值提升，建成长三角地区领先的高品质鲜活农产品供应基地和示范区。构建高效衔接的农产品产地预冷、冷链仓储和运输体系，建设现代化低温配送中心，推进核心产区田头冷链全覆盖、重点加工企业与销售终端全程冷链无缝对接。布局消费市场前置仓，优化“最后一公里”配送路径，整合自提点、团长、骑手即时配送等多种末端配送模式。</w:t>
      </w:r>
      <w:r>
        <w:rPr>
          <w:rFonts w:hint="eastAsia" w:ascii="仿宋_GB2312" w:hAnsi="仿宋_GB2312" w:eastAsia="仿宋_GB2312" w:cs="仿宋_GB2312"/>
          <w:color w:val="auto"/>
          <w:sz w:val="32"/>
          <w:szCs w:val="32"/>
          <w:highlight w:val="none"/>
          <w:lang w:val="en-US" w:eastAsia="zh-CN"/>
        </w:rPr>
        <w:t>强化质量管控与追溯闭环</w:t>
      </w:r>
      <w:r>
        <w:rPr>
          <w:rFonts w:hint="eastAsia" w:ascii="仿宋_GB2312" w:hAnsi="仿宋_GB2312" w:eastAsia="仿宋_GB2312" w:cs="仿宋_GB2312"/>
          <w:color w:val="auto"/>
          <w:kern w:val="2"/>
          <w:sz w:val="32"/>
          <w:szCs w:val="32"/>
          <w:highlight w:val="none"/>
          <w:lang w:val="en-US" w:eastAsia="zh-CN" w:bidi="ar-SA"/>
        </w:rPr>
        <w:t>，实现100%批次速达产品农残快检，全面推行产地信息赋码，建立从源头到餐桌的全程可追溯系统。</w:t>
      </w:r>
    </w:p>
    <w:p w14:paraId="41CDA504">
      <w:pPr>
        <w:keepNext w:val="0"/>
        <w:keepLines w:val="0"/>
        <w:pageBreakBefore w:val="0"/>
        <w:widowControl w:val="0"/>
        <w:kinsoku/>
        <w:wordWrap/>
        <w:overflowPunct/>
        <w:topLinePunct w:val="0"/>
        <w:autoSpaceDE/>
        <w:autoSpaceDN/>
        <w:bidi w:val="0"/>
        <w:adjustRightInd/>
        <w:spacing w:line="560" w:lineRule="exact"/>
        <w:ind w:right="0" w:firstLine="643"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lang w:val="en-US" w:eastAsia="zh-CN"/>
        </w:rPr>
        <w:t>强化农产品品牌建设。</w:t>
      </w:r>
      <w:r>
        <w:rPr>
          <w:rFonts w:hint="eastAsia" w:ascii="仿宋_GB2312" w:hAnsi="仿宋_GB2312" w:eastAsia="仿宋_GB2312" w:cs="仿宋_GB2312"/>
          <w:b w:val="0"/>
          <w:bCs w:val="0"/>
          <w:color w:val="auto"/>
          <w:sz w:val="32"/>
          <w:szCs w:val="32"/>
          <w:highlight w:val="none"/>
          <w:lang w:val="en-US" w:eastAsia="zh-CN"/>
        </w:rPr>
        <w:t>提升崇明“土特产”附加值，</w:t>
      </w:r>
      <w:r>
        <w:rPr>
          <w:rFonts w:hint="eastAsia" w:ascii="仿宋_GB2312" w:hAnsi="仿宋_GB2312" w:eastAsia="仿宋_GB2312" w:cs="仿宋_GB2312"/>
          <w:b w:val="0"/>
          <w:bCs w:val="0"/>
          <w:color w:val="auto"/>
          <w:kern w:val="2"/>
          <w:sz w:val="32"/>
          <w:szCs w:val="32"/>
          <w:highlight w:val="none"/>
          <w:u w:val="none"/>
          <w:lang w:val="en-US" w:eastAsia="zh-CN" w:bidi="ar-SA"/>
        </w:rPr>
        <w:t>深化“母品牌+地理标志子品牌”管理体系，打造“1+</w:t>
      </w:r>
      <w:r>
        <w:rPr>
          <w:rFonts w:hint="eastAsia" w:ascii="仿宋_GB2312" w:hAnsi="仿宋_GB2312" w:eastAsia="仿宋_GB2312" w:cs="仿宋_GB2312"/>
          <w:b w:val="0"/>
          <w:bCs w:val="0"/>
          <w:strike w:val="0"/>
          <w:dstrike w:val="0"/>
          <w:color w:val="auto"/>
          <w:kern w:val="2"/>
          <w:sz w:val="32"/>
          <w:szCs w:val="32"/>
          <w:highlight w:val="none"/>
          <w:u w:val="none"/>
          <w:lang w:val="en-US" w:eastAsia="zh-CN" w:bidi="ar-SA"/>
        </w:rPr>
        <w:t>2</w:t>
      </w:r>
      <w:r>
        <w:rPr>
          <w:rFonts w:hint="eastAsia" w:ascii="仿宋_GB2312" w:hAnsi="仿宋_GB2312" w:eastAsia="仿宋_GB2312" w:cs="仿宋_GB2312"/>
          <w:b w:val="0"/>
          <w:bCs w:val="0"/>
          <w:color w:val="auto"/>
          <w:kern w:val="2"/>
          <w:sz w:val="32"/>
          <w:szCs w:val="32"/>
          <w:highlight w:val="none"/>
          <w:u w:val="none"/>
          <w:lang w:val="en-US" w:eastAsia="zh-CN" w:bidi="ar-SA"/>
        </w:rPr>
        <w:t>+18”品牌体系</w:t>
      </w:r>
      <w:r>
        <w:rPr>
          <w:rStyle w:val="15"/>
          <w:rFonts w:hint="eastAsia" w:ascii="仿宋_GB2312" w:hAnsi="仿宋_GB2312" w:eastAsia="仿宋_GB2312" w:cs="仿宋_GB2312"/>
          <w:b w:val="0"/>
          <w:bCs w:val="0"/>
          <w:color w:val="auto"/>
          <w:kern w:val="2"/>
          <w:sz w:val="32"/>
          <w:szCs w:val="32"/>
          <w:highlight w:val="none"/>
          <w:u w:val="none"/>
          <w:lang w:val="en-US" w:eastAsia="zh-CN" w:bidi="ar-SA"/>
        </w:rPr>
        <w:footnoteReference w:id="2"/>
      </w:r>
      <w:r>
        <w:rPr>
          <w:rFonts w:hint="eastAsia" w:ascii="仿宋_GB2312" w:hAnsi="仿宋_GB2312" w:eastAsia="仿宋_GB2312" w:cs="仿宋_GB2312"/>
          <w:b w:val="0"/>
          <w:bCs w:val="0"/>
          <w:color w:val="auto"/>
          <w:kern w:val="2"/>
          <w:sz w:val="32"/>
          <w:szCs w:val="32"/>
          <w:highlight w:val="none"/>
          <w:u w:val="none"/>
          <w:lang w:val="en-US" w:eastAsia="zh-CN" w:bidi="ar-SA"/>
        </w:rPr>
        <w:t>，实现“统一品牌形象、统一质量标准、统一授权管理、统一营销推广”，全面提升崇明农产品知名度、美誉度和市场竞争力，到2030年，稳定地理标志农产品</w:t>
      </w:r>
      <w:r>
        <w:rPr>
          <w:rFonts w:hint="eastAsia" w:ascii="仿宋_GB2312" w:hAnsi="仿宋_GB2312" w:eastAsia="仿宋_GB2312" w:cs="仿宋_GB2312"/>
          <w:b w:val="0"/>
          <w:bCs w:val="0"/>
          <w:strike w:val="0"/>
          <w:dstrike w:val="0"/>
          <w:color w:val="auto"/>
          <w:kern w:val="2"/>
          <w:sz w:val="32"/>
          <w:szCs w:val="32"/>
          <w:highlight w:val="none"/>
          <w:u w:val="none"/>
          <w:lang w:val="en-US" w:eastAsia="zh-CN" w:bidi="ar-SA"/>
        </w:rPr>
        <w:t>11个</w:t>
      </w:r>
      <w:r>
        <w:rPr>
          <w:rFonts w:hint="eastAsia" w:ascii="仿宋_GB2312" w:hAnsi="仿宋_GB2312" w:eastAsia="仿宋_GB2312" w:cs="仿宋_GB2312"/>
          <w:b w:val="0"/>
          <w:bCs w:val="0"/>
          <w:color w:val="auto"/>
          <w:kern w:val="2"/>
          <w:sz w:val="32"/>
          <w:szCs w:val="32"/>
          <w:highlight w:val="none"/>
          <w:u w:val="none"/>
          <w:lang w:val="en-US" w:eastAsia="zh-CN" w:bidi="ar-SA"/>
        </w:rPr>
        <w:t>以上，实现区域公共品牌种养规模全区占比50%以上。</w:t>
      </w:r>
      <w:r>
        <w:rPr>
          <w:rFonts w:hint="eastAsia" w:ascii="仿宋_GB2312" w:hAnsi="仿宋_GB2312" w:eastAsia="仿宋_GB2312" w:cs="仿宋_GB2312"/>
          <w:b w:val="0"/>
          <w:bCs w:val="0"/>
          <w:color w:val="auto"/>
          <w:sz w:val="32"/>
          <w:szCs w:val="32"/>
          <w:highlight w:val="none"/>
          <w:lang w:val="en-US" w:eastAsia="zh-CN"/>
        </w:rPr>
        <w:t>推动农业产业化联合体发展壮大，</w:t>
      </w:r>
      <w:r>
        <w:rPr>
          <w:rFonts w:hint="eastAsia" w:ascii="仿宋_GB2312" w:hAnsi="仿宋_GB2312" w:eastAsia="仿宋_GB2312" w:cs="仿宋_GB2312"/>
          <w:b w:val="0"/>
          <w:bCs w:val="0"/>
          <w:color w:val="auto"/>
          <w:kern w:val="2"/>
          <w:sz w:val="32"/>
          <w:szCs w:val="32"/>
          <w:highlight w:val="none"/>
          <w:u w:val="none"/>
          <w:lang w:val="en-US" w:eastAsia="zh-CN" w:bidi="ar-SA"/>
        </w:rPr>
        <w:t>蔬菜集团、白山羊集团、河蟹集团、米业集团等龙头企业统筹规划种养殖品种及规模，拓展订单农业渠道，实施</w:t>
      </w:r>
      <w:r>
        <w:rPr>
          <w:rFonts w:hint="eastAsia" w:ascii="仿宋_GB2312" w:hAnsi="仿宋_GB2312" w:eastAsia="仿宋_GB2312" w:cs="仿宋_GB2312"/>
          <w:color w:val="auto"/>
          <w:sz w:val="32"/>
          <w:szCs w:val="32"/>
          <w:highlight w:val="none"/>
          <w:u w:val="none"/>
        </w:rPr>
        <w:t>统一包装材质、规格与标识规范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val="0"/>
          <w:bCs w:val="0"/>
          <w:color w:val="auto"/>
          <w:kern w:val="2"/>
          <w:sz w:val="32"/>
          <w:szCs w:val="32"/>
          <w:highlight w:val="none"/>
          <w:u w:val="none"/>
          <w:lang w:val="en-US" w:eastAsia="zh-CN" w:bidi="ar-SA"/>
        </w:rPr>
        <w:t>提升农产品标准化、规模化输出能力。拓展“线上+线下”融合渠道，优化“崇明鲜品”平台功能，布局市区高端社区专营店及展销点，通过直播电商、国际展会、节庆活动，进一步提高崇明农产品知名度和市场竞争力，到2030年，线下社区专营店和展销点</w:t>
      </w:r>
      <w:r>
        <w:rPr>
          <w:rFonts w:hint="eastAsia" w:ascii="仿宋_GB2312" w:hAnsi="仿宋_GB2312" w:eastAsia="仿宋_GB2312" w:cs="仿宋_GB2312"/>
          <w:b w:val="0"/>
          <w:bCs w:val="0"/>
          <w:strike w:val="0"/>
          <w:dstrike w:val="0"/>
          <w:color w:val="auto"/>
          <w:kern w:val="2"/>
          <w:sz w:val="32"/>
          <w:szCs w:val="32"/>
          <w:highlight w:val="none"/>
          <w:u w:val="none"/>
          <w:lang w:val="en-US" w:eastAsia="zh-CN" w:bidi="ar-SA"/>
        </w:rPr>
        <w:t>增加</w:t>
      </w:r>
      <w:r>
        <w:rPr>
          <w:rFonts w:hint="eastAsia" w:ascii="仿宋_GB2312" w:hAnsi="仿宋_GB2312" w:eastAsia="仿宋_GB2312" w:cs="仿宋_GB2312"/>
          <w:b w:val="0"/>
          <w:bCs w:val="0"/>
          <w:color w:val="auto"/>
          <w:kern w:val="2"/>
          <w:sz w:val="32"/>
          <w:szCs w:val="32"/>
          <w:highlight w:val="none"/>
          <w:u w:val="none"/>
          <w:lang w:val="en-US" w:eastAsia="zh-CN" w:bidi="ar-SA"/>
        </w:rPr>
        <w:t>至10家以上，培育年产值超5000万元的农业龙头企业3家以上，全区主要农产品品牌化销售率40%以上。开展品牌保护行动，完善地理标志</w:t>
      </w:r>
      <w:r>
        <w:rPr>
          <w:rFonts w:hint="eastAsia" w:ascii="仿宋_GB2312" w:hAnsi="仿宋_GB2312" w:eastAsia="仿宋_GB2312" w:cs="仿宋_GB2312"/>
          <w:b w:val="0"/>
          <w:bCs w:val="0"/>
          <w:strike w:val="0"/>
          <w:dstrike w:val="0"/>
          <w:color w:val="auto"/>
          <w:kern w:val="2"/>
          <w:sz w:val="32"/>
          <w:szCs w:val="32"/>
          <w:highlight w:val="none"/>
          <w:u w:val="none"/>
          <w:lang w:val="en-US" w:eastAsia="zh-CN" w:bidi="ar-SA"/>
        </w:rPr>
        <w:t>授权</w:t>
      </w:r>
      <w:r>
        <w:rPr>
          <w:rFonts w:hint="eastAsia" w:ascii="仿宋_GB2312" w:hAnsi="仿宋_GB2312" w:eastAsia="仿宋_GB2312" w:cs="仿宋_GB2312"/>
          <w:b w:val="0"/>
          <w:bCs w:val="0"/>
          <w:color w:val="auto"/>
          <w:kern w:val="2"/>
          <w:sz w:val="32"/>
          <w:szCs w:val="32"/>
          <w:highlight w:val="none"/>
          <w:u w:val="none"/>
          <w:lang w:val="en-US" w:eastAsia="zh-CN" w:bidi="ar-SA"/>
        </w:rPr>
        <w:t>、区域公共品牌授权和联合执法打假机制，严控冒用崇明品牌标识行为。</w:t>
      </w:r>
    </w:p>
    <w:p w14:paraId="363FAC2F">
      <w:pPr>
        <w:pStyle w:val="5"/>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3.培育乡村新业态新模式</w:t>
      </w:r>
    </w:p>
    <w:p w14:paraId="0B86414D">
      <w:pPr>
        <w:pStyle w:val="5"/>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打造生态文旅热点IP。</w:t>
      </w:r>
      <w:r>
        <w:rPr>
          <w:rFonts w:hint="eastAsia" w:ascii="仿宋_GB2312" w:hAnsi="仿宋_GB2312" w:eastAsia="仿宋_GB2312" w:cs="仿宋_GB2312"/>
          <w:b w:val="0"/>
          <w:bCs w:val="0"/>
          <w:color w:val="auto"/>
          <w:sz w:val="32"/>
          <w:szCs w:val="32"/>
          <w:highlight w:val="none"/>
          <w:lang w:val="en-US" w:eastAsia="zh-CN"/>
        </w:rPr>
        <w:t>打响多元节庆品牌，</w:t>
      </w:r>
      <w:r>
        <w:rPr>
          <w:rFonts w:hint="eastAsia" w:ascii="仿宋_GB2312" w:hAnsi="仿宋_GB2312" w:eastAsia="仿宋_GB2312" w:cs="仿宋_GB2312"/>
          <w:color w:val="auto"/>
          <w:sz w:val="32"/>
          <w:szCs w:val="32"/>
          <w:highlight w:val="none"/>
          <w:lang w:val="en-US" w:eastAsia="zh-CN"/>
        </w:rPr>
        <w:t>打造</w:t>
      </w:r>
      <w:r>
        <w:rPr>
          <w:rFonts w:hint="eastAsia" w:ascii="仿宋_GB2312" w:hAnsi="仿宋_GB2312" w:eastAsia="仿宋_GB2312" w:cs="仿宋_GB2312"/>
          <w:color w:val="auto"/>
          <w:sz w:val="32"/>
          <w:szCs w:val="32"/>
          <w:highlight w:val="none"/>
        </w:rPr>
        <w:t>崇明花朝节、环崇明岛自行车骑游大会、乡村文化旅游节</w:t>
      </w:r>
      <w:r>
        <w:rPr>
          <w:rFonts w:hint="eastAsia" w:ascii="仿宋_GB2312" w:hAnsi="仿宋_GB2312" w:eastAsia="仿宋_GB2312" w:cs="仿宋_GB2312"/>
          <w:color w:val="auto"/>
          <w:sz w:val="32"/>
          <w:szCs w:val="32"/>
          <w:highlight w:val="none"/>
          <w:lang w:eastAsia="zh-CN"/>
        </w:rPr>
        <w:t>等品牌活动</w:t>
      </w:r>
      <w:r>
        <w:rPr>
          <w:rFonts w:hint="eastAsia" w:ascii="仿宋_GB2312" w:hAnsi="仿宋_GB2312" w:eastAsia="仿宋_GB2312" w:cs="仿宋_GB2312"/>
          <w:color w:val="auto"/>
          <w:sz w:val="32"/>
          <w:szCs w:val="32"/>
          <w:highlight w:val="none"/>
          <w:lang w:val="en-US" w:eastAsia="zh-CN"/>
        </w:rPr>
        <w:t>，探索引入音乐节、电竞节等时尚文化元素。拓展特色体验项目，加快主题乐园等旅游景区建设，</w:t>
      </w:r>
      <w:r>
        <w:rPr>
          <w:rFonts w:hint="eastAsia" w:ascii="仿宋_GB2312" w:hAnsi="仿宋_GB2312" w:eastAsia="仿宋_GB2312" w:cs="仿宋_GB2312"/>
          <w:color w:val="auto"/>
          <w:sz w:val="32"/>
          <w:szCs w:val="32"/>
          <w:highlight w:val="none"/>
          <w:shd w:val="clear" w:color="auto" w:fill="FFFFFF"/>
          <w:lang w:eastAsia="zh-CN"/>
        </w:rPr>
        <w:t>探索开发水上观光、低空旅游、研学</w:t>
      </w:r>
      <w:r>
        <w:rPr>
          <w:rFonts w:hint="eastAsia" w:ascii="仿宋_GB2312" w:hAnsi="仿宋_GB2312" w:eastAsia="仿宋_GB2312" w:cs="仿宋_GB2312"/>
          <w:color w:val="auto"/>
          <w:sz w:val="32"/>
          <w:szCs w:val="32"/>
          <w:highlight w:val="none"/>
          <w:shd w:val="clear" w:color="auto" w:fill="FFFFFF"/>
          <w:lang w:val="en-US" w:eastAsia="zh-CN"/>
        </w:rPr>
        <w:t>科普</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非遗体验、</w:t>
      </w:r>
      <w:r>
        <w:rPr>
          <w:rFonts w:hint="eastAsia" w:ascii="仿宋_GB2312" w:hAnsi="仿宋_GB2312" w:eastAsia="仿宋_GB2312" w:cs="仿宋_GB2312"/>
          <w:color w:val="auto"/>
          <w:sz w:val="32"/>
          <w:szCs w:val="32"/>
          <w:highlight w:val="none"/>
          <w:shd w:val="clear" w:color="auto" w:fill="FFFFFF"/>
          <w:lang w:eastAsia="zh-CN"/>
        </w:rPr>
        <w:t>房车露营、</w:t>
      </w:r>
      <w:r>
        <w:rPr>
          <w:rFonts w:hint="eastAsia" w:ascii="仿宋_GB2312" w:hAnsi="仿宋_GB2312" w:eastAsia="仿宋_GB2312" w:cs="仿宋_GB2312"/>
          <w:color w:val="auto"/>
          <w:sz w:val="32"/>
          <w:szCs w:val="32"/>
          <w:highlight w:val="none"/>
          <w:lang w:val="en-US" w:eastAsia="zh-CN"/>
        </w:rPr>
        <w:t>休闲</w:t>
      </w:r>
      <w:r>
        <w:rPr>
          <w:rFonts w:hint="eastAsia" w:ascii="仿宋_GB2312" w:hAnsi="仿宋_GB2312" w:eastAsia="仿宋_GB2312" w:cs="仿宋_GB2312"/>
          <w:color w:val="auto"/>
          <w:sz w:val="32"/>
          <w:szCs w:val="32"/>
          <w:highlight w:val="none"/>
          <w:lang w:eastAsia="zh-CN"/>
        </w:rPr>
        <w:t>骑游</w:t>
      </w:r>
      <w:r>
        <w:rPr>
          <w:rFonts w:hint="eastAsia" w:ascii="仿宋_GB2312" w:hAnsi="仿宋_GB2312" w:eastAsia="仿宋_GB2312" w:cs="仿宋_GB2312"/>
          <w:color w:val="auto"/>
          <w:sz w:val="32"/>
          <w:szCs w:val="32"/>
          <w:highlight w:val="none"/>
          <w:lang w:val="en-US" w:eastAsia="zh-CN"/>
        </w:rPr>
        <w:t>、红色文化旅游等体验产品。发挥票根经济联动效应，推动亲子互动、文化艺术、休闲餐饮、田园旅居等业态叠加，系统搭建“1+4”平台体系</w:t>
      </w:r>
      <w:r>
        <w:rPr>
          <w:rStyle w:val="15"/>
          <w:rFonts w:hint="eastAsia" w:ascii="仿宋_GB2312" w:hAnsi="仿宋_GB2312" w:eastAsia="仿宋_GB2312" w:cs="仿宋_GB2312"/>
          <w:color w:val="auto"/>
          <w:sz w:val="32"/>
          <w:szCs w:val="32"/>
          <w:highlight w:val="none"/>
          <w:lang w:val="en-US" w:eastAsia="zh-CN"/>
        </w:rPr>
        <w:footnoteReference w:id="3"/>
      </w:r>
      <w:r>
        <w:rPr>
          <w:rFonts w:hint="eastAsia" w:ascii="仿宋_GB2312" w:hAnsi="仿宋_GB2312" w:eastAsia="仿宋_GB2312" w:cs="仿宋_GB2312"/>
          <w:color w:val="auto"/>
          <w:sz w:val="32"/>
          <w:szCs w:val="32"/>
          <w:highlight w:val="none"/>
          <w:lang w:val="en-US" w:eastAsia="zh-CN"/>
        </w:rPr>
        <w:t>，支持拓展沉浸社交、圈层兴趣、体验互动等消费新场景，推动“吃住行游购娱”一体化建设提升。深化民宿集群建设，全面提升星级民宿品质和服务，</w:t>
      </w:r>
      <w:r>
        <w:rPr>
          <w:rFonts w:hint="eastAsia" w:ascii="仿宋_GB2312" w:hAnsi="仿宋_GB2312" w:eastAsia="仿宋_GB2312" w:cs="仿宋_GB2312"/>
          <w:color w:val="auto"/>
          <w:sz w:val="32"/>
          <w:szCs w:val="32"/>
          <w:highlight w:val="none"/>
          <w:shd w:val="clear" w:color="auto" w:fill="FFFFFF"/>
        </w:rPr>
        <w:t>形成</w:t>
      </w:r>
      <w:r>
        <w:rPr>
          <w:rFonts w:hint="eastAsia" w:ascii="仿宋_GB2312" w:hAnsi="仿宋_GB2312" w:eastAsia="仿宋_GB2312" w:cs="仿宋_GB2312"/>
          <w:color w:val="auto"/>
          <w:sz w:val="32"/>
          <w:szCs w:val="32"/>
          <w:highlight w:val="none"/>
          <w:shd w:val="clear" w:color="auto" w:fill="FFFFFF"/>
          <w:lang w:val="en-US" w:eastAsia="zh-CN"/>
        </w:rPr>
        <w:t>生态岛拳头住宿产品，构建</w:t>
      </w:r>
      <w:r>
        <w:rPr>
          <w:rFonts w:hint="eastAsia" w:ascii="仿宋_GB2312" w:hAnsi="仿宋_GB2312" w:eastAsia="仿宋_GB2312" w:cs="仿宋_GB2312"/>
          <w:color w:val="auto"/>
          <w:sz w:val="32"/>
          <w:szCs w:val="32"/>
          <w:highlight w:val="none"/>
          <w:shd w:val="clear" w:color="auto" w:fill="FFFFFF"/>
        </w:rPr>
        <w:t>全域宜游、全岛宜居的</w:t>
      </w:r>
      <w:r>
        <w:rPr>
          <w:rFonts w:hint="eastAsia" w:ascii="仿宋_GB2312" w:hAnsi="仿宋_GB2312" w:eastAsia="仿宋_GB2312" w:cs="仿宋_GB2312"/>
          <w:color w:val="auto"/>
          <w:sz w:val="32"/>
          <w:szCs w:val="32"/>
          <w:highlight w:val="none"/>
          <w:shd w:val="clear" w:color="auto" w:fill="FFFFFF"/>
          <w:lang w:val="en-US" w:eastAsia="zh-CN"/>
        </w:rPr>
        <w:t>旅游</w:t>
      </w:r>
      <w:r>
        <w:rPr>
          <w:rFonts w:hint="eastAsia" w:ascii="仿宋_GB2312" w:hAnsi="仿宋_GB2312" w:eastAsia="仿宋_GB2312" w:cs="仿宋_GB2312"/>
          <w:color w:val="auto"/>
          <w:sz w:val="32"/>
          <w:szCs w:val="32"/>
          <w:highlight w:val="none"/>
          <w:shd w:val="clear" w:color="auto" w:fill="FFFFFF"/>
        </w:rPr>
        <w:t>产业链条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FFFFFF"/>
          <w:lang w:eastAsia="zh-CN"/>
        </w:rPr>
        <w:t>打造大都市近郊独具魅力的休闲旅游度</w:t>
      </w:r>
      <w:r>
        <w:rPr>
          <w:rFonts w:hint="eastAsia" w:ascii="仿宋_GB2312" w:hAnsi="仿宋_GB2312" w:eastAsia="仿宋_GB2312" w:cs="仿宋_GB2312"/>
          <w:color w:val="auto"/>
          <w:sz w:val="32"/>
          <w:szCs w:val="32"/>
          <w:highlight w:val="none"/>
          <w:lang w:eastAsia="zh-CN"/>
        </w:rPr>
        <w:t>假岛。</w:t>
      </w:r>
    </w:p>
    <w:p w14:paraId="02F969DC">
      <w:pPr>
        <w:pStyle w:val="5"/>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夯实体旅融合发展基底。</w:t>
      </w:r>
      <w:r>
        <w:rPr>
          <w:rFonts w:hint="eastAsia" w:ascii="仿宋_GB2312" w:hAnsi="仿宋_GB2312" w:eastAsia="仿宋_GB2312" w:cs="仿宋_GB2312"/>
          <w:color w:val="auto"/>
          <w:sz w:val="32"/>
          <w:szCs w:val="32"/>
          <w:highlight w:val="none"/>
          <w:lang w:val="en-US" w:eastAsia="zh-CN"/>
        </w:rPr>
        <w:t>优化体育产业布局，完善“两镇一带十基地”</w:t>
      </w:r>
      <w:r>
        <w:rPr>
          <w:rStyle w:val="15"/>
          <w:rFonts w:hint="eastAsia" w:ascii="仿宋_GB2312" w:hAnsi="仿宋_GB2312" w:eastAsia="仿宋_GB2312" w:cs="仿宋_GB2312"/>
          <w:color w:val="auto"/>
          <w:sz w:val="32"/>
          <w:szCs w:val="32"/>
          <w:highlight w:val="none"/>
          <w:lang w:val="en-US" w:eastAsia="zh-CN"/>
        </w:rPr>
        <w:footnoteReference w:id="4"/>
      </w:r>
      <w:r>
        <w:rPr>
          <w:rFonts w:hint="eastAsia" w:ascii="仿宋_GB2312" w:hAnsi="仿宋_GB2312" w:eastAsia="仿宋_GB2312" w:cs="仿宋_GB2312"/>
          <w:color w:val="auto"/>
          <w:sz w:val="32"/>
          <w:szCs w:val="32"/>
          <w:highlight w:val="none"/>
          <w:lang w:val="en-US" w:eastAsia="zh-CN"/>
        </w:rPr>
        <w:t>体育产业总体布局，强化体育基地、俱乐部联动协作，</w:t>
      </w:r>
      <w:r>
        <w:rPr>
          <w:rFonts w:hint="eastAsia" w:ascii="仿宋_GB2312" w:hAnsi="仿宋_GB2312" w:eastAsia="仿宋_GB2312" w:cs="仿宋_GB2312"/>
          <w:color w:val="auto"/>
          <w:sz w:val="32"/>
          <w:szCs w:val="32"/>
          <w:highlight w:val="none"/>
        </w:rPr>
        <w:t>形成功能互补、特色鲜明的体育产业发展格局。</w:t>
      </w:r>
      <w:r>
        <w:rPr>
          <w:rFonts w:hint="eastAsia" w:ascii="仿宋_GB2312" w:hAnsi="仿宋_GB2312" w:eastAsia="仿宋_GB2312" w:cs="仿宋_GB2312"/>
          <w:color w:val="auto"/>
          <w:sz w:val="32"/>
          <w:szCs w:val="32"/>
          <w:highlight w:val="none"/>
          <w:lang w:val="en-US" w:eastAsia="zh-CN"/>
        </w:rPr>
        <w:t>释放体育赛事活力</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丰富国际国内重大赛事体系，</w:t>
      </w:r>
      <w:r>
        <w:rPr>
          <w:rFonts w:hint="eastAsia" w:ascii="仿宋_GB2312" w:hAnsi="仿宋_GB2312" w:eastAsia="仿宋_GB2312" w:cs="仿宋_GB2312"/>
          <w:b w:val="0"/>
          <w:bCs w:val="0"/>
          <w:color w:val="auto"/>
          <w:sz w:val="32"/>
          <w:szCs w:val="32"/>
          <w:highlight w:val="none"/>
          <w:lang w:val="en-US" w:eastAsia="zh-CN"/>
        </w:rPr>
        <w:t>办好环崇明岛国际自盟女子公路世界巡回赛、</w:t>
      </w:r>
      <w:r>
        <w:rPr>
          <w:rFonts w:hint="eastAsia" w:ascii="仿宋_GB2312" w:hAnsi="仿宋_GB2312" w:eastAsia="仿宋_GB2312" w:cs="仿宋_GB2312"/>
          <w:b w:val="0"/>
          <w:bCs w:val="0"/>
          <w:color w:val="auto"/>
          <w:sz w:val="32"/>
          <w:szCs w:val="32"/>
          <w:highlight w:val="none"/>
          <w:rtl w:val="0"/>
          <w:lang w:val="en-US" w:eastAsia="zh-CN"/>
        </w:rPr>
        <w:t>国际篮联三人篮球大师赛（上海崇明站）、</w:t>
      </w:r>
      <w:r>
        <w:rPr>
          <w:rFonts w:hint="eastAsia" w:ascii="仿宋_GB2312" w:hAnsi="仿宋_GB2312" w:eastAsia="仿宋_GB2312" w:cs="仿宋_GB2312"/>
          <w:b w:val="0"/>
          <w:bCs w:val="0"/>
          <w:color w:val="auto"/>
          <w:sz w:val="32"/>
          <w:szCs w:val="32"/>
          <w:highlight w:val="none"/>
          <w:lang w:val="en-US" w:eastAsia="zh-CN"/>
        </w:rPr>
        <w:t>上海（崇明）休闲体育大会</w:t>
      </w:r>
      <w:r>
        <w:rPr>
          <w:rFonts w:hint="eastAsia" w:ascii="仿宋_GB2312" w:hAnsi="仿宋_GB2312" w:eastAsia="仿宋_GB2312" w:cs="仿宋_GB2312"/>
          <w:b w:val="0"/>
          <w:bCs w:val="0"/>
          <w:color w:val="auto"/>
          <w:sz w:val="32"/>
          <w:szCs w:val="32"/>
          <w:highlight w:val="none"/>
          <w:rtl w:val="0"/>
          <w:lang w:val="en-US" w:eastAsia="zh-CN"/>
        </w:rPr>
        <w:t>等</w:t>
      </w:r>
      <w:r>
        <w:rPr>
          <w:rFonts w:hint="eastAsia" w:ascii="仿宋_GB2312" w:hAnsi="仿宋_GB2312" w:eastAsia="仿宋_GB2312" w:cs="仿宋_GB2312"/>
          <w:b w:val="0"/>
          <w:bCs w:val="0"/>
          <w:color w:val="auto"/>
          <w:sz w:val="32"/>
          <w:szCs w:val="32"/>
          <w:highlight w:val="none"/>
          <w:lang w:val="en-US" w:eastAsia="zh-CN"/>
        </w:rPr>
        <w:t>赛事和各类全民健身赛事活动。</w:t>
      </w:r>
      <w:r>
        <w:rPr>
          <w:rFonts w:hint="eastAsia" w:ascii="仿宋_GB2312" w:hAnsi="仿宋_GB2312" w:eastAsia="仿宋_GB2312" w:cs="仿宋_GB2312"/>
          <w:color w:val="auto"/>
          <w:kern w:val="2"/>
          <w:sz w:val="32"/>
          <w:szCs w:val="32"/>
          <w:highlight w:val="none"/>
          <w:lang w:val="en-US" w:eastAsia="zh-CN" w:bidi="ar-SA"/>
        </w:rPr>
        <w:t>大力发展户外运动，开展自行车骑行、水上运动等户外活动，沿南横引河探索布局水上运动基地，积极创建体育旅游精品景区及线路，推动“一镇一品”建设，组织开展社区健康运动会。</w:t>
      </w:r>
    </w:p>
    <w:p w14:paraId="212686C2">
      <w:pPr>
        <w:pStyle w:val="5"/>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深挖生命健康产业价值。</w:t>
      </w:r>
      <w:r>
        <w:rPr>
          <w:rFonts w:hint="eastAsia" w:ascii="仿宋_GB2312" w:hAnsi="仿宋_GB2312" w:eastAsia="仿宋_GB2312" w:cs="仿宋_GB2312"/>
          <w:b w:val="0"/>
          <w:bCs w:val="0"/>
          <w:color w:val="auto"/>
          <w:sz w:val="32"/>
          <w:szCs w:val="32"/>
          <w:highlight w:val="none"/>
          <w:lang w:val="en-US" w:eastAsia="zh-CN"/>
        </w:rPr>
        <w:t>打造中医药健康产业，</w:t>
      </w:r>
      <w:r>
        <w:rPr>
          <w:rFonts w:hint="eastAsia" w:ascii="仿宋_GB2312" w:hAnsi="仿宋_GB2312" w:eastAsia="仿宋_GB2312" w:cs="仿宋_GB2312"/>
          <w:color w:val="auto"/>
          <w:sz w:val="32"/>
          <w:szCs w:val="32"/>
          <w:highlight w:val="none"/>
          <w:lang w:val="en-US" w:eastAsia="zh-CN"/>
        </w:rPr>
        <w:t>加强西红花、金边灵芝、铁皮石斛等中药材种植、加工和衍生产品开发，积极与科研院校合作引进科研项目，引导种植户</w:t>
      </w:r>
      <w:r>
        <w:rPr>
          <w:rFonts w:hint="eastAsia" w:ascii="仿宋_GB2312" w:hAnsi="仿宋_GB2312" w:eastAsia="仿宋_GB2312" w:cs="仿宋_GB2312"/>
          <w:strike w:val="0"/>
          <w:dstrike w:val="0"/>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lang w:val="en-US" w:eastAsia="zh-CN"/>
        </w:rPr>
        <w:t>订单生产，推进技术研究和示范点建设，提高中草药生产管理水平。推进健康产业集群化发展，建设东部高端医疗、健康管理产业集聚区，整合康养社区、特色小镇等资源，做强高端健康旅游服务业，打造集高端医疗、运动康复、休闲养生为一体的国际健康旅游集聚区。发展康复训练及健康促进辅具产业，加快人工智能、智能传感、信息通信、脑机接口等新技术在康复辅助器具领域集成应用研究，推动康复辅具租赁示范点建设，</w:t>
      </w:r>
      <w:r>
        <w:rPr>
          <w:rFonts w:hint="eastAsia" w:ascii="仿宋_GB2312" w:hAnsi="仿宋_GB2312" w:eastAsia="仿宋_GB2312" w:cs="仿宋_GB2312"/>
          <w:color w:val="auto"/>
          <w:sz w:val="32"/>
          <w:szCs w:val="32"/>
          <w:highlight w:val="none"/>
        </w:rPr>
        <w:t>探索“辅具租赁+康养服务”模式</w:t>
      </w:r>
      <w:r>
        <w:rPr>
          <w:rFonts w:hint="eastAsia" w:ascii="仿宋_GB2312" w:hAnsi="仿宋_GB2312" w:eastAsia="仿宋_GB2312" w:cs="仿宋_GB2312"/>
          <w:color w:val="auto"/>
          <w:sz w:val="32"/>
          <w:szCs w:val="32"/>
          <w:highlight w:val="none"/>
          <w:lang w:val="en-US" w:eastAsia="zh-CN"/>
        </w:rPr>
        <w:t>。</w:t>
      </w:r>
    </w:p>
    <w:p w14:paraId="1F2504C9">
      <w:pPr>
        <w:pStyle w:val="5"/>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firstLine="643" w:firstLineChars="200"/>
        <w:jc w:val="both"/>
        <w:textAlignment w:val="auto"/>
        <w:rPr>
          <w:rFonts w:hint="default" w:ascii="DejaVu Sans" w:hAnsi="DejaVu Sans" w:eastAsia="FangSong_GB2312" w:cs="DejaVu Sans"/>
          <w:b w:val="0"/>
          <w:bCs w:val="0"/>
          <w:i w:val="0"/>
          <w:iCs w:val="0"/>
          <w:caps w:val="0"/>
          <w:color w:val="auto"/>
          <w:spacing w:val="0"/>
          <w:sz w:val="32"/>
          <w:szCs w:val="32"/>
          <w:highlight w:val="none"/>
          <w:lang w:val="en-US" w:eastAsia="zh-CN"/>
        </w:rPr>
      </w:pPr>
      <w:r>
        <w:rPr>
          <w:rFonts w:hint="eastAsia" w:ascii="DejaVu Sans" w:hAnsi="DejaVu Sans" w:eastAsia="FangSong_GB2312" w:cs="DejaVu Sans"/>
          <w:b/>
          <w:bCs/>
          <w:i w:val="0"/>
          <w:iCs w:val="0"/>
          <w:caps w:val="0"/>
          <w:color w:val="auto"/>
          <w:spacing w:val="0"/>
          <w:sz w:val="32"/>
          <w:szCs w:val="32"/>
          <w:highlight w:val="none"/>
          <w:lang w:val="en-US" w:eastAsia="zh-CN"/>
        </w:rPr>
        <w:t>探索林下经济多元路径。</w:t>
      </w:r>
      <w:r>
        <w:rPr>
          <w:rFonts w:hint="eastAsia" w:ascii="DejaVu Sans" w:hAnsi="DejaVu Sans" w:eastAsia="FangSong_GB2312" w:cs="DejaVu Sans"/>
          <w:b w:val="0"/>
          <w:bCs w:val="0"/>
          <w:i w:val="0"/>
          <w:iCs w:val="0"/>
          <w:caps w:val="0"/>
          <w:color w:val="auto"/>
          <w:spacing w:val="0"/>
          <w:sz w:val="32"/>
          <w:szCs w:val="32"/>
          <w:highlight w:val="none"/>
          <w:lang w:val="en-US" w:eastAsia="zh-CN"/>
        </w:rPr>
        <w:t>统筹森林资源利用，深入研究林下经济发展指南，明确林下经济的利用范围、备案流程与支持保障，探索可持续发展的林下经济模式。深化林下种养成果，</w:t>
      </w:r>
      <w:r>
        <w:rPr>
          <w:rFonts w:hint="eastAsia" w:ascii="DejaVu Sans" w:hAnsi="DejaVu Sans" w:eastAsia="FangSong_GB2312" w:cs="DejaVu Sans"/>
          <w:color w:val="auto"/>
          <w:sz w:val="32"/>
          <w:szCs w:val="32"/>
          <w:highlight w:val="none"/>
        </w:rPr>
        <w:t>开展林下经济示范基地培育</w:t>
      </w:r>
      <w:r>
        <w:rPr>
          <w:rFonts w:hint="eastAsia" w:ascii="DejaVu Sans" w:hAnsi="DejaVu Sans" w:eastAsia="FangSong_GB2312" w:cs="DejaVu Sans"/>
          <w:color w:val="auto"/>
          <w:sz w:val="32"/>
          <w:szCs w:val="32"/>
          <w:highlight w:val="none"/>
          <w:lang w:eastAsia="zh-CN"/>
        </w:rPr>
        <w:t>，</w:t>
      </w:r>
      <w:r>
        <w:rPr>
          <w:rFonts w:hint="eastAsia" w:ascii="DejaVu Sans" w:hAnsi="DejaVu Sans" w:eastAsia="FangSong_GB2312" w:cs="DejaVu Sans"/>
          <w:b w:val="0"/>
          <w:bCs w:val="0"/>
          <w:i w:val="0"/>
          <w:iCs w:val="0"/>
          <w:caps w:val="0"/>
          <w:color w:val="auto"/>
          <w:spacing w:val="0"/>
          <w:sz w:val="32"/>
          <w:szCs w:val="32"/>
          <w:highlight w:val="none"/>
          <w:lang w:val="en-US" w:eastAsia="zh-CN"/>
        </w:rPr>
        <w:t>进一步扩大种养面积，</w:t>
      </w:r>
      <w:r>
        <w:rPr>
          <w:rFonts w:hint="eastAsia" w:ascii="DejaVu Sans" w:hAnsi="DejaVu Sans" w:eastAsia="FangSong_GB2312" w:cs="DejaVu Sans"/>
          <w:b w:val="0"/>
          <w:bCs w:val="0"/>
          <w:color w:val="auto"/>
          <w:sz w:val="32"/>
          <w:szCs w:val="32"/>
          <w:highlight w:val="none"/>
          <w:lang w:val="en-US" w:eastAsia="zh-CN"/>
        </w:rPr>
        <w:t>探索</w:t>
      </w:r>
      <w:r>
        <w:rPr>
          <w:rFonts w:hint="eastAsia" w:ascii="DejaVu Sans" w:hAnsi="DejaVu Sans" w:eastAsia="FangSong_GB2312" w:cs="DejaVu Sans"/>
          <w:color w:val="auto"/>
          <w:sz w:val="32"/>
          <w:szCs w:val="32"/>
          <w:highlight w:val="none"/>
        </w:rPr>
        <w:t>林禽、林菌、林菜</w:t>
      </w:r>
      <w:r>
        <w:rPr>
          <w:rFonts w:hint="eastAsia" w:ascii="DejaVu Sans" w:hAnsi="DejaVu Sans" w:eastAsia="FangSong_GB2312" w:cs="DejaVu Sans"/>
          <w:color w:val="auto"/>
          <w:sz w:val="32"/>
          <w:szCs w:val="32"/>
          <w:highlight w:val="none"/>
          <w:lang w:eastAsia="zh-CN"/>
        </w:rPr>
        <w:t>、</w:t>
      </w:r>
      <w:r>
        <w:rPr>
          <w:rFonts w:hint="eastAsia" w:ascii="DejaVu Sans" w:hAnsi="DejaVu Sans" w:eastAsia="FangSong_GB2312" w:cs="DejaVu Sans"/>
          <w:color w:val="auto"/>
          <w:sz w:val="32"/>
          <w:szCs w:val="32"/>
          <w:highlight w:val="none"/>
        </w:rPr>
        <w:t>林药等</w:t>
      </w:r>
      <w:r>
        <w:rPr>
          <w:rFonts w:hint="eastAsia" w:ascii="DejaVu Sans" w:hAnsi="DejaVu Sans" w:eastAsia="FangSong_GB2312" w:cs="DejaVu Sans"/>
          <w:color w:val="auto"/>
          <w:sz w:val="32"/>
          <w:szCs w:val="32"/>
          <w:highlight w:val="none"/>
          <w:lang w:val="en-US" w:eastAsia="zh-CN"/>
        </w:rPr>
        <w:t>森林</w:t>
      </w:r>
      <w:r>
        <w:rPr>
          <w:rFonts w:hint="eastAsia" w:ascii="DejaVu Sans" w:hAnsi="DejaVu Sans" w:eastAsia="FangSong_GB2312" w:cs="DejaVu Sans"/>
          <w:color w:val="auto"/>
          <w:sz w:val="32"/>
          <w:szCs w:val="32"/>
          <w:highlight w:val="none"/>
        </w:rPr>
        <w:t>复合经营模式</w:t>
      </w:r>
      <w:r>
        <w:rPr>
          <w:rFonts w:hint="eastAsia" w:ascii="DejaVu Sans" w:hAnsi="DejaVu Sans" w:eastAsia="FangSong_GB2312" w:cs="DejaVu Sans"/>
          <w:color w:val="auto"/>
          <w:sz w:val="32"/>
          <w:szCs w:val="32"/>
          <w:highlight w:val="none"/>
          <w:lang w:eastAsia="zh-CN"/>
        </w:rPr>
        <w:t>，</w:t>
      </w:r>
      <w:r>
        <w:rPr>
          <w:rFonts w:hint="eastAsia" w:ascii="DejaVu Sans" w:hAnsi="DejaVu Sans" w:eastAsia="FangSong_GB2312" w:cs="DejaVu Sans"/>
          <w:color w:val="auto"/>
          <w:sz w:val="32"/>
          <w:szCs w:val="32"/>
          <w:highlight w:val="none"/>
          <w:lang w:val="en-US" w:eastAsia="zh-CN"/>
        </w:rPr>
        <w:t>开拓</w:t>
      </w:r>
      <w:r>
        <w:rPr>
          <w:rFonts w:hint="eastAsia" w:ascii="仿宋_GB2312" w:hAnsi="仿宋_GB2312" w:eastAsia="仿宋_GB2312" w:cs="仿宋_GB2312"/>
          <w:color w:val="auto"/>
          <w:sz w:val="32"/>
          <w:szCs w:val="32"/>
          <w:highlight w:val="none"/>
        </w:rPr>
        <w:t>“生态效益+经济效益”</w:t>
      </w:r>
      <w:r>
        <w:rPr>
          <w:rFonts w:hint="eastAsia" w:ascii="DejaVu Sans" w:hAnsi="DejaVu Sans" w:eastAsia="FangSong_GB2312" w:cs="DejaVu Sans"/>
          <w:color w:val="auto"/>
          <w:sz w:val="32"/>
          <w:szCs w:val="32"/>
          <w:highlight w:val="none"/>
        </w:rPr>
        <w:t>双赢的林下经济</w:t>
      </w:r>
      <w:r>
        <w:rPr>
          <w:rFonts w:hint="eastAsia" w:ascii="DejaVu Sans" w:hAnsi="DejaVu Sans" w:eastAsia="FangSong_GB2312" w:cs="DejaVu Sans"/>
          <w:color w:val="auto"/>
          <w:sz w:val="32"/>
          <w:szCs w:val="32"/>
          <w:highlight w:val="none"/>
          <w:lang w:eastAsia="zh-CN"/>
        </w:rPr>
        <w:t>发展</w:t>
      </w:r>
      <w:r>
        <w:rPr>
          <w:rFonts w:hint="eastAsia" w:ascii="DejaVu Sans" w:hAnsi="DejaVu Sans" w:eastAsia="FangSong_GB2312" w:cs="DejaVu Sans"/>
          <w:color w:val="auto"/>
          <w:sz w:val="32"/>
          <w:szCs w:val="32"/>
          <w:highlight w:val="none"/>
        </w:rPr>
        <w:t>新路径</w:t>
      </w:r>
      <w:r>
        <w:rPr>
          <w:rFonts w:hint="eastAsia" w:ascii="DejaVu Sans" w:hAnsi="DejaVu Sans" w:eastAsia="FangSong_GB2312" w:cs="DejaVu Sans"/>
          <w:color w:val="auto"/>
          <w:sz w:val="32"/>
          <w:szCs w:val="32"/>
          <w:highlight w:val="none"/>
          <w:lang w:eastAsia="zh-CN"/>
        </w:rPr>
        <w:t>。</w:t>
      </w:r>
      <w:r>
        <w:rPr>
          <w:rFonts w:hint="eastAsia" w:ascii="DejaVu Sans" w:hAnsi="DejaVu Sans" w:eastAsia="FangSong_GB2312" w:cs="DejaVu Sans"/>
          <w:b w:val="0"/>
          <w:bCs w:val="0"/>
          <w:i w:val="0"/>
          <w:iCs w:val="0"/>
          <w:caps w:val="0"/>
          <w:color w:val="auto"/>
          <w:spacing w:val="0"/>
          <w:sz w:val="32"/>
          <w:szCs w:val="32"/>
          <w:highlight w:val="none"/>
          <w:lang w:val="en-US" w:eastAsia="zh-CN"/>
        </w:rPr>
        <w:t>开展林下经济差异化试点探索，鼓励开发生态旅游、户外露营、文化体育等功能，试点开展林地空间复合利用，支持</w:t>
      </w:r>
      <w:r>
        <w:rPr>
          <w:rFonts w:hint="default" w:ascii="DejaVu Sans" w:hAnsi="DejaVu Sans" w:eastAsia="FangSong_GB2312" w:cs="DejaVu Sans"/>
          <w:b w:val="0"/>
          <w:bCs w:val="0"/>
          <w:i w:val="0"/>
          <w:iCs w:val="0"/>
          <w:caps w:val="0"/>
          <w:color w:val="auto"/>
          <w:spacing w:val="0"/>
          <w:sz w:val="32"/>
          <w:szCs w:val="32"/>
          <w:highlight w:val="none"/>
          <w:lang w:val="en-US" w:eastAsia="zh-CN"/>
        </w:rPr>
        <w:t>开展</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“林下种植+休闲体验”等一三产融合发展模式。</w:t>
      </w:r>
    </w:p>
    <w:p w14:paraId="705B72FF">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3" w:firstLineChars="200"/>
        <w:jc w:val="left"/>
        <w:textAlignment w:val="auto"/>
        <w:rPr>
          <w:rFonts w:hint="eastAsia"/>
          <w:b w:val="0"/>
          <w:bCs w:val="0"/>
          <w:color w:val="auto"/>
          <w:highlight w:val="none"/>
          <w:lang w:val="en-US" w:eastAsia="zh-CN"/>
        </w:rPr>
      </w:pPr>
      <w:r>
        <w:rPr>
          <w:rFonts w:hint="eastAsia" w:eastAsia="FangSong_GB2312" w:cs="DejaVu Sans"/>
          <w:b/>
          <w:bCs/>
          <w:i w:val="0"/>
          <w:iCs w:val="0"/>
          <w:caps w:val="0"/>
          <w:color w:val="auto"/>
          <w:spacing w:val="0"/>
          <w:sz w:val="32"/>
          <w:szCs w:val="32"/>
          <w:highlight w:val="none"/>
          <w:lang w:val="en-US" w:eastAsia="zh-CN"/>
        </w:rPr>
        <w:t>构建宠物经济新兴生态</w:t>
      </w:r>
      <w:r>
        <w:rPr>
          <w:rFonts w:hint="default" w:ascii="DejaVu Sans" w:hAnsi="DejaVu Sans" w:eastAsia="FangSong_GB2312" w:cs="DejaVu Sans"/>
          <w:i w:val="0"/>
          <w:iCs w:val="0"/>
          <w:caps w:val="0"/>
          <w:color w:val="auto"/>
          <w:spacing w:val="0"/>
          <w:sz w:val="32"/>
          <w:szCs w:val="32"/>
          <w:highlight w:val="none"/>
          <w:lang w:val="en-US" w:eastAsia="zh-CN"/>
        </w:rPr>
        <w:t>。</w:t>
      </w:r>
      <w:r>
        <w:rPr>
          <w:rFonts w:hint="default" w:ascii="仿宋_GB2312" w:hAnsi="仿宋_GB2312" w:eastAsia="仿宋_GB2312" w:cs="仿宋_GB2312"/>
          <w:color w:val="auto"/>
          <w:kern w:val="2"/>
          <w:sz w:val="32"/>
          <w:szCs w:val="32"/>
          <w:highlight w:val="none"/>
          <w:lang w:val="en-US" w:eastAsia="zh-CN" w:bidi="ar-SA"/>
        </w:rPr>
        <w:t>培育宠物</w:t>
      </w:r>
      <w:r>
        <w:rPr>
          <w:rFonts w:hint="eastAsia" w:ascii="仿宋_GB2312" w:hAnsi="仿宋_GB2312" w:eastAsia="仿宋_GB2312" w:cs="仿宋_GB2312"/>
          <w:color w:val="auto"/>
          <w:kern w:val="2"/>
          <w:sz w:val="32"/>
          <w:szCs w:val="32"/>
          <w:highlight w:val="none"/>
          <w:lang w:val="en-US" w:eastAsia="zh-CN" w:bidi="ar-SA"/>
        </w:rPr>
        <w:t>经济产业链，推动品种交易、美容护理、食品药品研发、服装玩具设计、健康医疗寄养等宠物全产业链图谱落地，</w:t>
      </w:r>
      <w:r>
        <w:rPr>
          <w:rFonts w:hint="eastAsia" w:ascii="仿宋_GB2312" w:hAnsi="仿宋_GB2312" w:eastAsia="仿宋_GB2312" w:cs="仿宋_GB2312"/>
          <w:color w:val="auto"/>
          <w:sz w:val="32"/>
          <w:szCs w:val="32"/>
          <w:highlight w:val="none"/>
        </w:rPr>
        <w:t>形成“生产+服务+消费”的完整产业生态</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rPr>
        <w:t>打造宠物主题消费场景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举办宠物生活节、宠物赛展、宠物市集等活动，建设宠物主题乐园，引导共建文明养宠社区，带动宠物旅游等“人宠和谐”消费新</w:t>
      </w:r>
      <w:r>
        <w:rPr>
          <w:rFonts w:hint="eastAsia" w:ascii="仿宋_GB2312" w:hAnsi="仿宋_GB2312" w:eastAsia="仿宋_GB2312" w:cs="仿宋_GB2312"/>
          <w:strike w:val="0"/>
          <w:dstrike w:val="0"/>
          <w:color w:val="auto"/>
          <w:kern w:val="2"/>
          <w:sz w:val="32"/>
          <w:szCs w:val="32"/>
          <w:highlight w:val="none"/>
          <w:lang w:val="en-US" w:eastAsia="zh-CN" w:bidi="ar-SA"/>
        </w:rPr>
        <w:t>模式</w:t>
      </w:r>
      <w:r>
        <w:rPr>
          <w:rFonts w:hint="eastAsia" w:ascii="仿宋_GB2312" w:hAnsi="仿宋_GB2312" w:eastAsia="仿宋_GB2312" w:cs="仿宋_GB2312"/>
          <w:color w:val="auto"/>
          <w:kern w:val="2"/>
          <w:sz w:val="32"/>
          <w:szCs w:val="32"/>
          <w:highlight w:val="none"/>
          <w:lang w:val="en-US" w:eastAsia="zh-CN" w:bidi="ar-SA"/>
        </w:rPr>
        <w:t>，推动“它经济”从“附属品”向“情感基建”全面转型。强化配套服务保障，推进“一业一证”工作，提高动物诊疗许可证的核发及监管效率，积极推动行业规范及标准的逐步完善提升，以服务升级支撑消费扩容，助力宠物经济成为市场新热点。</w:t>
      </w:r>
    </w:p>
    <w:p w14:paraId="7379C6A7">
      <w:pPr>
        <w:pStyle w:val="3"/>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default" w:hAnsi="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优化乡村商业发展环境。</w:t>
      </w:r>
      <w:r>
        <w:rPr>
          <w:rFonts w:hint="eastAsia" w:ascii="仿宋_GB2312" w:hAnsi="仿宋_GB2312" w:eastAsia="仿宋_GB2312" w:cs="仿宋_GB2312"/>
          <w:b w:val="0"/>
          <w:bCs w:val="0"/>
          <w:color w:val="auto"/>
          <w:sz w:val="32"/>
          <w:szCs w:val="32"/>
          <w:highlight w:val="none"/>
          <w:lang w:val="en-US" w:eastAsia="zh-CN"/>
        </w:rPr>
        <w:t>推进“区、镇、村”三级商业体系建设，加速新老商圈转型升级，积极引进新业态、新零售、新平台，积极创建“绿色商场”“数字商圈”。打造特色商业街区，建设早餐工程标准化网点，推动集贸市场向生态市集、智慧菜场转型，培育乡村振兴商业聚落，推动连锁品牌下沉乡村，提升品质商业覆盖面，夯实“一刻钟便民生活圈”建设。</w:t>
      </w:r>
      <w:r>
        <w:rPr>
          <w:rFonts w:hint="eastAsia" w:hAnsi="仿宋_GB2312" w:cs="仿宋_GB2312"/>
          <w:b w:val="0"/>
          <w:bCs w:val="0"/>
          <w:color w:val="auto"/>
          <w:sz w:val="32"/>
          <w:szCs w:val="32"/>
          <w:highlight w:val="none"/>
          <w:lang w:val="en-US" w:eastAsia="zh-CN"/>
        </w:rPr>
        <w:t>大力推动电商产业发展，构建多层次农村电商产业格局，打通农产品上行与工业品下行通道，创新农村电商应用场景，重点引育直播经济集聚区，培育懂产品、善营销的本土主播，形成电商企业集聚效应，激活农村电商发展活力。</w:t>
      </w:r>
    </w:p>
    <w:p w14:paraId="14665324">
      <w:pPr>
        <w:pStyle w:val="3"/>
        <w:keepNext w:val="0"/>
        <w:keepLines w:val="0"/>
        <w:pageBreakBefore w:val="0"/>
        <w:wordWrap/>
        <w:overflowPunct/>
        <w:topLinePunct w:val="0"/>
        <w:bidi w:val="0"/>
        <w:spacing w:line="560" w:lineRule="exact"/>
        <w:ind w:right="0" w:firstLine="643"/>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（三）厚植绿色生态底蕴，绘就宜居宜业乡村新图景</w:t>
      </w:r>
    </w:p>
    <w:p w14:paraId="13D21F87">
      <w:pPr>
        <w:pStyle w:val="9"/>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围绕现代农业发展趋势、乡村生产生活需求，以打造</w:t>
      </w:r>
      <w:r>
        <w:rPr>
          <w:rFonts w:hint="eastAsia" w:ascii="仿宋_GB2312" w:hAnsi="仿宋_GB2312" w:eastAsia="仿宋_GB2312" w:cs="仿宋_GB2312"/>
          <w:b w:val="0"/>
          <w:bCs w:val="0"/>
          <w:strike w:val="0"/>
          <w:dstrike w:val="0"/>
          <w:color w:val="auto"/>
          <w:sz w:val="32"/>
          <w:szCs w:val="32"/>
          <w:highlight w:val="none"/>
          <w:u w:val="none"/>
          <w:lang w:val="en-US" w:eastAsia="zh-CN"/>
        </w:rPr>
        <w:t>宜居宜业和美乡村片区</w:t>
      </w:r>
      <w:r>
        <w:rPr>
          <w:rFonts w:hint="eastAsia" w:ascii="仿宋_GB2312" w:hAnsi="仿宋_GB2312" w:eastAsia="仿宋_GB2312" w:cs="仿宋_GB2312"/>
          <w:b w:val="0"/>
          <w:bCs w:val="0"/>
          <w:strike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沪派江南特色村落为抓手，提升农村人居环境水平，加大乡村生态环境保护力度，建立人与自然和谐共生的美丽乡村。</w:t>
      </w:r>
    </w:p>
    <w:p w14:paraId="69C36E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1.加强城乡布局全域统筹</w:t>
      </w:r>
    </w:p>
    <w:p w14:paraId="3EB6CA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优化乡村规划布局。</w:t>
      </w:r>
      <w:r>
        <w:rPr>
          <w:rFonts w:hint="eastAsia" w:ascii="仿宋_GB2312" w:hAnsi="仿宋_GB2312" w:eastAsia="仿宋_GB2312" w:cs="仿宋_GB2312"/>
          <w:b w:val="0"/>
          <w:bCs w:val="0"/>
          <w:color w:val="auto"/>
          <w:sz w:val="32"/>
          <w:szCs w:val="32"/>
          <w:highlight w:val="none"/>
          <w:lang w:val="en-US" w:eastAsia="zh-CN"/>
        </w:rPr>
        <w:t>强化城乡统筹融合，突出科学编制，合理安排农村发展用地布局和时序，系统优化生态、生产、生活空间，统筹田、林、水、宅等用地布局，提高土地产出率、资源利用率、劳动生产率。有序推进郊野单元控制性详细规划，优化郊野空间格局，统筹郊野地区基础设施规划、土地整治规划、村庄规划等各类规划，突出“一张蓝图”“多规合一”，推动郊野地区资源要素精细化统筹和高质量利用。推进全域土地综合整治，聚焦耕地保护、项目落地、产业导入等，统筹实施农用地集中连片整治、质量提升和生态化改造，保障乡村产业项目落地需要的用地空间需求。</w:t>
      </w:r>
      <w:r>
        <w:rPr>
          <w:rFonts w:hint="eastAsia" w:ascii="仿宋_GB2312" w:hAnsi="仿宋_GB2312" w:eastAsia="仿宋_GB2312" w:cs="仿宋_GB2312"/>
          <w:color w:val="auto"/>
          <w:kern w:val="2"/>
          <w:sz w:val="32"/>
          <w:szCs w:val="32"/>
          <w:highlight w:val="none"/>
          <w:lang w:val="en-US" w:eastAsia="zh-CN" w:bidi="ar-SA"/>
        </w:rPr>
        <w:t>结合村民意愿，逐步有序推进规划非保留村撤并，因地制宜优化规划居民点布局。</w:t>
      </w:r>
    </w:p>
    <w:p w14:paraId="10BC21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落实乡村空间保障。</w:t>
      </w:r>
      <w:r>
        <w:rPr>
          <w:rFonts w:hint="eastAsia" w:ascii="仿宋_GB2312" w:hAnsi="仿宋_GB2312" w:eastAsia="仿宋_GB2312" w:cs="仿宋_GB2312"/>
          <w:b w:val="0"/>
          <w:bCs w:val="0"/>
          <w:color w:val="auto"/>
          <w:sz w:val="32"/>
          <w:szCs w:val="32"/>
          <w:highlight w:val="none"/>
          <w:lang w:val="en-US" w:eastAsia="zh-CN"/>
        </w:rPr>
        <w:t>探索适合崇明乡村地区存量用地更新模式，坚持存量增效、增量提质，结合农村集体经营性建设用地入市试点和点状供地项目落地，衔接纳入国土空间规划，盘活农村存量建设用地空间资源，提高乡村土地市场活力。深入开展建设用地减量化工作，将低效建设用地减量化指标按照不低于5%的比例重点向乡村产业等倾斜。加大设施农用地保障力度，优化备案程序，促进都市现代绿色农业健康发展，实现土地资源利用从低效到高效、分散到集中的转变，满足乡村地区生产、生活、生态等多维度的空间需求。</w:t>
      </w:r>
    </w:p>
    <w:p w14:paraId="4A8DBD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加大耕地保护力度</w:t>
      </w:r>
      <w:r>
        <w:rPr>
          <w:rFonts w:hint="eastAsia" w:ascii="仿宋_GB2312" w:hAnsi="仿宋_GB2312" w:eastAsia="仿宋_GB2312" w:cs="仿宋_GB2312"/>
          <w:b w:val="0"/>
          <w:bCs w:val="0"/>
          <w:color w:val="auto"/>
          <w:sz w:val="32"/>
          <w:szCs w:val="32"/>
          <w:highlight w:val="none"/>
          <w:lang w:val="en-US" w:eastAsia="zh-CN"/>
        </w:rPr>
        <w:t>。持续完善耕地占补平衡制度，按照“规划引领、平稳过渡、刚弹结合、周转永续”原则，执行耕地占补平衡管理新机制，守住耕地保护底线。优化永久基本农田布局，将符合规划要求不在永久基本农田范围内的存量高标准农田优先划入永久基本农田，将小碎细散、宅前屋后等地块调出永久基本农田。严格落实国土空间用途管制，合规合法开展国土空间用途管制的审批、核准、备案、监测监管，保护和利用耕地资源，严格控制耕地流出。</w:t>
      </w:r>
    </w:p>
    <w:p w14:paraId="795196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2.加强特色乡村示范建设</w:t>
      </w:r>
    </w:p>
    <w:p w14:paraId="78FD22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3"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lang w:val="en-US" w:eastAsia="zh-CN"/>
        </w:rPr>
        <w:t>打造沪派江南特色村落。</w:t>
      </w:r>
      <w:r>
        <w:rPr>
          <w:rFonts w:hint="eastAsia" w:ascii="仿宋_GB2312" w:hAnsi="仿宋_GB2312" w:eastAsia="仿宋_GB2312" w:cs="仿宋_GB2312"/>
          <w:b w:val="0"/>
          <w:bCs w:val="0"/>
          <w:color w:val="auto"/>
          <w:sz w:val="32"/>
          <w:szCs w:val="32"/>
          <w:highlight w:val="none"/>
          <w:lang w:val="en-US" w:eastAsia="zh-CN"/>
        </w:rPr>
        <w:t>推进沪派江南特色乡村风貌传承保护，</w:t>
      </w:r>
      <w:r>
        <w:rPr>
          <w:rFonts w:hint="eastAsia" w:ascii="仿宋_GB2312" w:hAnsi="仿宋_GB2312" w:eastAsia="仿宋_GB2312" w:cs="仿宋_GB2312"/>
          <w:color w:val="auto"/>
          <w:sz w:val="32"/>
          <w:szCs w:val="32"/>
          <w:highlight w:val="none"/>
          <w:lang w:val="en-US" w:eastAsia="zh-CN"/>
        </w:rPr>
        <w:t>挖掘崇明乡村农田、河网、村路、片林、民居等乡村要素，将传统风貌保护和产业发展相结合，提升农村人居环境品质与活力。强化乡村规划引领，提升村庄设计质量，优化村庄布局和乡村生产生活生态空间，促进村庄建设与自然生态环境有机融合，完善“乡村生活圈”公共基础设施建设，提高乡村生活品质。开展典型风貌单元试点，</w:t>
      </w:r>
      <w:r>
        <w:rPr>
          <w:rFonts w:hint="eastAsia" w:ascii="仿宋_GB2312" w:hAnsi="仿宋_GB2312" w:eastAsia="仿宋_GB2312" w:cs="仿宋_GB2312"/>
          <w:color w:val="auto"/>
          <w:kern w:val="2"/>
          <w:sz w:val="32"/>
          <w:szCs w:val="32"/>
          <w:highlight w:val="none"/>
          <w:lang w:val="en-US" w:eastAsia="zh-CN" w:bidi="ar-SA"/>
        </w:rPr>
        <w:t>积极推动中兴镇富圩单元、新村乡新乐单元等“沪派江南”试点建设</w:t>
      </w:r>
      <w:r>
        <w:rPr>
          <w:rFonts w:hint="eastAsia" w:ascii="仿宋_GB2312" w:hAnsi="仿宋_GB2312" w:eastAsia="仿宋_GB2312" w:cs="仿宋_GB2312"/>
          <w:color w:val="auto"/>
          <w:sz w:val="32"/>
          <w:szCs w:val="32"/>
          <w:highlight w:val="none"/>
          <w:lang w:val="en-US" w:eastAsia="zh-CN"/>
        </w:rPr>
        <w:t>，充分利用乡村自然资源禀赋，</w:t>
      </w:r>
      <w:r>
        <w:rPr>
          <w:rFonts w:hint="eastAsia" w:ascii="仿宋_GB2312" w:hAnsi="仿宋_GB2312" w:eastAsia="仿宋_GB2312" w:cs="仿宋_GB2312"/>
          <w:color w:val="auto"/>
          <w:sz w:val="32"/>
          <w:szCs w:val="32"/>
          <w:highlight w:val="none"/>
          <w:u w:val="none"/>
          <w:lang w:val="en-US" w:eastAsia="zh-CN"/>
        </w:rPr>
        <w:t>发挥乡村地区的经济价值、生态价值、社会价值、文化价值，</w:t>
      </w:r>
      <w:r>
        <w:rPr>
          <w:rFonts w:hint="eastAsia" w:ascii="仿宋_GB2312" w:hAnsi="仿宋_GB2312" w:eastAsia="仿宋_GB2312" w:cs="仿宋_GB2312"/>
          <w:color w:val="auto"/>
          <w:sz w:val="32"/>
          <w:szCs w:val="32"/>
          <w:highlight w:val="none"/>
          <w:lang w:val="en-US" w:eastAsia="zh-CN"/>
        </w:rPr>
        <w:t>发展乡村特色产业，打造多元化发展的乡村空间</w:t>
      </w:r>
      <w:r>
        <w:rPr>
          <w:rFonts w:hint="eastAsia" w:ascii="仿宋_GB2312" w:hAnsi="仿宋_GB2312" w:eastAsia="仿宋_GB2312" w:cs="仿宋_GB2312"/>
          <w:color w:val="auto"/>
          <w:sz w:val="32"/>
          <w:szCs w:val="32"/>
          <w:highlight w:val="none"/>
          <w:u w:val="none"/>
          <w:lang w:val="en-US" w:eastAsia="zh-CN"/>
        </w:rPr>
        <w:t>。</w:t>
      </w:r>
    </w:p>
    <w:p w14:paraId="5F0CA4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推进和美乡村建设。</w:t>
      </w:r>
      <w:r>
        <w:rPr>
          <w:rFonts w:hint="eastAsia" w:ascii="仿宋_GB2312" w:hAnsi="仿宋_GB2312" w:eastAsia="仿宋_GB2312" w:cs="仿宋_GB2312"/>
          <w:color w:val="auto"/>
          <w:kern w:val="2"/>
          <w:sz w:val="32"/>
          <w:szCs w:val="32"/>
          <w:highlight w:val="none"/>
          <w:lang w:val="en-US" w:eastAsia="zh-CN" w:bidi="ar-SA"/>
        </w:rPr>
        <w:t>推动</w:t>
      </w:r>
      <w:r>
        <w:rPr>
          <w:rFonts w:hint="eastAsia" w:ascii="仿宋_GB2312" w:hAnsi="仿宋_GB2312" w:eastAsia="仿宋_GB2312" w:cs="仿宋_GB2312"/>
          <w:strike w:val="0"/>
          <w:dstrike w:val="0"/>
          <w:color w:val="auto"/>
          <w:kern w:val="2"/>
          <w:sz w:val="32"/>
          <w:szCs w:val="32"/>
          <w:highlight w:val="none"/>
          <w:lang w:val="en-US" w:eastAsia="zh-CN" w:bidi="ar-SA"/>
        </w:rPr>
        <w:t>宜居宜业</w:t>
      </w:r>
      <w:r>
        <w:rPr>
          <w:rFonts w:hint="eastAsia" w:ascii="仿宋_GB2312" w:hAnsi="仿宋_GB2312" w:eastAsia="仿宋_GB2312" w:cs="仿宋_GB2312"/>
          <w:color w:val="auto"/>
          <w:kern w:val="2"/>
          <w:sz w:val="32"/>
          <w:szCs w:val="32"/>
          <w:highlight w:val="none"/>
          <w:lang w:val="en-US" w:eastAsia="zh-CN" w:bidi="ar-SA"/>
        </w:rPr>
        <w:t>和美乡村片区化发展，加快乡村建设迭代升级，试点整村运营模式，提升和美乡村建设能级，释放乡村内在价值，到2030年，至少建成3个</w:t>
      </w:r>
      <w:r>
        <w:rPr>
          <w:rFonts w:hint="eastAsia" w:ascii="仿宋_GB2312" w:hAnsi="仿宋_GB2312" w:eastAsia="仿宋_GB2312" w:cs="仿宋_GB2312"/>
          <w:strike w:val="0"/>
          <w:dstrike w:val="0"/>
          <w:color w:val="auto"/>
          <w:kern w:val="2"/>
          <w:sz w:val="32"/>
          <w:szCs w:val="32"/>
          <w:highlight w:val="none"/>
          <w:lang w:val="en-US" w:eastAsia="zh-CN" w:bidi="ar-SA"/>
        </w:rPr>
        <w:t>宜居宜业</w:t>
      </w:r>
      <w:r>
        <w:rPr>
          <w:rFonts w:hint="eastAsia" w:ascii="仿宋_GB2312" w:hAnsi="仿宋_GB2312" w:eastAsia="仿宋_GB2312" w:cs="仿宋_GB2312"/>
          <w:color w:val="auto"/>
          <w:kern w:val="2"/>
          <w:sz w:val="32"/>
          <w:szCs w:val="32"/>
          <w:highlight w:val="none"/>
          <w:lang w:val="en-US" w:eastAsia="zh-CN" w:bidi="ar-SA"/>
        </w:rPr>
        <w:t>和美乡村试点片区。健全长效、多元化乡村建设管护机制，落实乡村管护资金，形成有制度、有标准、有队伍、有经费、有督查的管护模式，鼓励村民参与乡村建设管护过程。</w:t>
      </w:r>
      <w:r>
        <w:rPr>
          <w:rFonts w:hint="eastAsia" w:ascii="仿宋_GB2312" w:hAnsi="仿宋_GB2312" w:eastAsia="仿宋_GB2312" w:cs="仿宋_GB2312"/>
          <w:color w:val="auto"/>
          <w:sz w:val="32"/>
          <w:szCs w:val="32"/>
          <w:highlight w:val="none"/>
          <w:lang w:val="en-US" w:eastAsia="zh-CN"/>
        </w:rPr>
        <w:t>落实农房建设管理制度，推进农村乱占耕地建房整治，遏止违建行为，构建房屋安全管理长效机制，探索房屋体检，统筹建房审批与全过程管理。</w:t>
      </w:r>
    </w:p>
    <w:p w14:paraId="12207D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3.提升农村人居环境水平</w:t>
      </w:r>
    </w:p>
    <w:p w14:paraId="555BFCCF">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default"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优化农村人居生活环境。</w:t>
      </w:r>
      <w:r>
        <w:rPr>
          <w:rFonts w:hint="eastAsia" w:ascii="仿宋_GB2312" w:hAnsi="仿宋_GB2312" w:eastAsia="仿宋_GB2312" w:cs="仿宋_GB2312"/>
          <w:color w:val="auto"/>
          <w:spacing w:val="2"/>
          <w:sz w:val="32"/>
          <w:szCs w:val="32"/>
          <w:highlight w:val="none"/>
          <w:lang w:val="en-US" w:eastAsia="zh-CN"/>
        </w:rPr>
        <w:t>以农村公共基础设施管护和乡村环境卫生管理为主要任务，</w:t>
      </w:r>
      <w:r>
        <w:rPr>
          <w:rFonts w:hint="eastAsia" w:ascii="仿宋_GB2312" w:hAnsi="仿宋_GB2312" w:eastAsia="仿宋_GB2312" w:cs="仿宋_GB2312"/>
          <w:color w:val="auto"/>
          <w:sz w:val="32"/>
          <w:szCs w:val="32"/>
          <w:highlight w:val="none"/>
          <w:lang w:val="en-US" w:eastAsia="zh-CN"/>
        </w:rPr>
        <w:t>完善农村人居环境长效管护机制。打造垃圾分类示范居（村），确保居住区和单位分类达标率超95%，构建智能化收运监管体系，强化资源循环利用，实现回收利用率达45%以上。推进农村生活污水处理设施降本增效，开展资源化利用试点。</w:t>
      </w:r>
      <w:r>
        <w:rPr>
          <w:rFonts w:hint="eastAsia" w:ascii="仿宋_GB2312" w:hAnsi="仿宋_GB2312" w:eastAsia="仿宋_GB2312" w:cs="仿宋_GB2312"/>
          <w:b w:val="0"/>
          <w:bCs w:val="0"/>
          <w:color w:val="auto"/>
          <w:sz w:val="32"/>
          <w:szCs w:val="32"/>
          <w:highlight w:val="none"/>
          <w:lang w:val="en-US" w:eastAsia="zh-CN"/>
        </w:rPr>
        <w:t>加强农村公厕长效管理，持续推进公厕设施升级改造，确保每个行政村至少有一座三类及以上建设标准的公厕。</w:t>
      </w:r>
      <w:r>
        <w:rPr>
          <w:rFonts w:hint="eastAsia" w:ascii="仿宋_GB2312" w:hAnsi="仿宋_GB2312" w:eastAsia="仿宋_GB2312" w:cs="仿宋_GB2312"/>
          <w:color w:val="auto"/>
          <w:sz w:val="32"/>
          <w:szCs w:val="32"/>
          <w:highlight w:val="none"/>
          <w:lang w:val="en-US" w:eastAsia="zh-CN"/>
        </w:rPr>
        <w:t>深化农村公路管理养护体制改革，健全完善“四好农村路”高质量发展体系。</w:t>
      </w:r>
      <w:r>
        <w:rPr>
          <w:rFonts w:hint="eastAsia" w:ascii="仿宋_GB2312" w:hAnsi="仿宋_GB2312" w:eastAsia="仿宋_GB2312" w:cs="仿宋_GB2312"/>
          <w:color w:val="auto"/>
          <w:sz w:val="32"/>
          <w:szCs w:val="32"/>
          <w:highlight w:val="none"/>
        </w:rPr>
        <w:t>推进“双千兆”网络协同发展，打造“全光网岛”，推进6G网络布局，</w:t>
      </w:r>
      <w:r>
        <w:rPr>
          <w:rFonts w:hint="eastAsia" w:ascii="仿宋_GB2312" w:hAnsi="仿宋_GB2312" w:eastAsia="仿宋_GB2312" w:cs="仿宋_GB2312"/>
          <w:color w:val="auto"/>
          <w:sz w:val="32"/>
          <w:szCs w:val="32"/>
          <w:highlight w:val="none"/>
          <w:u w:val="none"/>
          <w:lang w:val="en-US" w:eastAsia="zh-CN"/>
        </w:rPr>
        <w:t>到2030年</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rPr>
        <w:t>5G基站数量达5000个以上，万人基站数保持全市领先。</w:t>
      </w:r>
    </w:p>
    <w:p w14:paraId="635DD2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lang w:val="en-US" w:eastAsia="zh-CN"/>
        </w:rPr>
        <w:t>提升乡村绿色生态环境。</w:t>
      </w:r>
      <w:r>
        <w:rPr>
          <w:rFonts w:hint="eastAsia" w:ascii="仿宋_GB2312" w:hAnsi="仿宋_GB2312" w:eastAsia="仿宋_GB2312" w:cs="仿宋_GB2312"/>
          <w:b w:val="0"/>
          <w:bCs w:val="0"/>
          <w:color w:val="auto"/>
          <w:sz w:val="32"/>
          <w:szCs w:val="32"/>
          <w:highlight w:val="none"/>
          <w:u w:val="none"/>
          <w:lang w:val="en-US" w:eastAsia="zh-CN"/>
        </w:rPr>
        <w:t>完善生态产品价值核算体系，全面开展GEP核算和碳排放精细化管理，落实自然资源资产权益，探索生态产品价值在乡村振兴领域的实现路径。聚力打造美丽幸福河湖，</w:t>
      </w:r>
      <w:r>
        <w:rPr>
          <w:rFonts w:hint="eastAsia" w:ascii="仿宋_GB2312" w:hAnsi="仿宋_GB2312" w:eastAsia="仿宋_GB2312" w:cs="仿宋_GB2312"/>
          <w:color w:val="auto"/>
          <w:sz w:val="32"/>
          <w:szCs w:val="32"/>
          <w:highlight w:val="none"/>
          <w:u w:val="none"/>
          <w:lang w:val="en-US" w:eastAsia="zh-CN"/>
        </w:rPr>
        <w:t>加强水源保护区精准管控，坚持“山水林田湖草沙”一体化保护和系统治理，</w:t>
      </w:r>
      <w:r>
        <w:rPr>
          <w:rFonts w:hint="eastAsia" w:ascii="仿宋_GB2312" w:hAnsi="仿宋_GB2312" w:eastAsia="仿宋_GB2312" w:cs="仿宋_GB2312"/>
          <w:strike w:val="0"/>
          <w:dstrike w:val="0"/>
          <w:color w:val="auto"/>
          <w:sz w:val="32"/>
          <w:szCs w:val="32"/>
          <w:highlight w:val="none"/>
          <w:u w:val="none"/>
          <w:lang w:val="en-US" w:eastAsia="zh-CN"/>
        </w:rPr>
        <w:t>推进</w:t>
      </w:r>
      <w:r>
        <w:rPr>
          <w:rFonts w:hint="eastAsia" w:ascii="仿宋_GB2312" w:hAnsi="仿宋_GB2312" w:eastAsia="仿宋_GB2312" w:cs="仿宋_GB2312"/>
          <w:color w:val="auto"/>
          <w:sz w:val="32"/>
          <w:szCs w:val="32"/>
          <w:highlight w:val="none"/>
          <w:u w:val="none"/>
          <w:lang w:val="en-US" w:eastAsia="zh-CN"/>
        </w:rPr>
        <w:t>河网水系联通、河道综合整治</w:t>
      </w:r>
      <w:r>
        <w:rPr>
          <w:rFonts w:hint="eastAsia" w:ascii="仿宋_GB2312" w:hAnsi="仿宋_GB2312" w:eastAsia="仿宋_GB2312" w:cs="仿宋_GB2312"/>
          <w:strike w:val="0"/>
          <w:dstrike w:val="0"/>
          <w:color w:val="auto"/>
          <w:sz w:val="32"/>
          <w:szCs w:val="32"/>
          <w:highlight w:val="none"/>
          <w:u w:val="none"/>
          <w:lang w:val="en-US" w:eastAsia="zh-CN"/>
        </w:rPr>
        <w:t>与生态修复</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strike w:val="0"/>
          <w:dstrike w:val="0"/>
          <w:color w:val="auto"/>
          <w:sz w:val="32"/>
          <w:szCs w:val="32"/>
          <w:highlight w:val="none"/>
          <w:u w:val="none"/>
          <w:lang w:val="en-US" w:eastAsia="zh-CN"/>
        </w:rPr>
        <w:t>构建集水源涵养、土壤保水、生态固土于一体的水土保持综合防治体系</w:t>
      </w:r>
      <w:r>
        <w:rPr>
          <w:rFonts w:hint="eastAsia" w:ascii="仿宋_GB2312" w:hAnsi="仿宋_GB2312" w:eastAsia="仿宋_GB2312" w:cs="仿宋_GB2312"/>
          <w:color w:val="auto"/>
          <w:sz w:val="32"/>
          <w:szCs w:val="32"/>
          <w:highlight w:val="none"/>
          <w:u w:val="none"/>
          <w:lang w:val="en-US" w:eastAsia="zh-CN"/>
        </w:rPr>
        <w:t>，全面提升区域水土保持功能。</w:t>
      </w:r>
      <w:r>
        <w:rPr>
          <w:rFonts w:hint="eastAsia" w:ascii="仿宋_GB2312" w:hAnsi="仿宋_GB2312" w:eastAsia="仿宋_GB2312" w:cs="仿宋_GB2312"/>
          <w:b w:val="0"/>
          <w:bCs w:val="0"/>
          <w:color w:val="auto"/>
          <w:sz w:val="32"/>
          <w:szCs w:val="32"/>
          <w:highlight w:val="none"/>
          <w:u w:val="none"/>
          <w:lang w:val="en-US" w:eastAsia="zh-CN"/>
        </w:rPr>
        <w:t>保育生态沃土，</w:t>
      </w:r>
      <w:r>
        <w:rPr>
          <w:rFonts w:hint="eastAsia" w:ascii="仿宋_GB2312" w:hAnsi="仿宋_GB2312" w:eastAsia="仿宋_GB2312" w:cs="仿宋_GB2312"/>
          <w:color w:val="auto"/>
          <w:sz w:val="32"/>
          <w:szCs w:val="32"/>
          <w:highlight w:val="none"/>
          <w:u w:val="none"/>
          <w:lang w:val="en-US" w:eastAsia="zh-CN"/>
        </w:rPr>
        <w:t>巩固农用地分类管理，持续开展耕地地力监测，提升耕地质量，推进国有农用地智慧化管理，探索土壤保育技术和修复路径。</w:t>
      </w:r>
      <w:r>
        <w:rPr>
          <w:rFonts w:hint="eastAsia" w:ascii="仿宋_GB2312" w:hAnsi="仿宋_GB2312" w:eastAsia="仿宋_GB2312" w:cs="仿宋_GB2312"/>
          <w:color w:val="auto"/>
          <w:kern w:val="0"/>
          <w:sz w:val="31"/>
          <w:szCs w:val="31"/>
          <w:highlight w:val="none"/>
          <w:u w:val="none"/>
          <w:lang w:val="en-US" w:eastAsia="zh-CN" w:bidi="ar"/>
        </w:rPr>
        <w:t>培育品质森林，</w:t>
      </w:r>
      <w:r>
        <w:rPr>
          <w:rFonts w:hint="eastAsia" w:ascii="仿宋_GB2312" w:hAnsi="仿宋_GB2312" w:eastAsia="仿宋_GB2312" w:cs="仿宋_GB2312"/>
          <w:color w:val="auto"/>
          <w:sz w:val="32"/>
          <w:szCs w:val="32"/>
          <w:highlight w:val="none"/>
          <w:u w:val="none"/>
          <w:lang w:val="en-US" w:eastAsia="zh-CN"/>
        </w:rPr>
        <w:t>统筹布局森林增量空间，因地制宜推进林相抚育及改造，拓展开放绿色休闲空间，每年推进公益林抚育不少于1.2万亩。守望静谧蓝天，以细颗粒物控制为主线，建立健全多污染物协同治理体系，细颗粒物（PM2.5）浓度保持23微克/立方米以下。推进乡村清洁能源利用，科学布局可再生能源项目开发建设，到2030年，全区光伏装机容量突破95万千瓦，全区风电装机容量达42万千瓦。</w:t>
      </w:r>
    </w:p>
    <w:p w14:paraId="4B61F5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开展生物多样性保护。</w:t>
      </w:r>
      <w:r>
        <w:rPr>
          <w:rFonts w:hint="eastAsia" w:ascii="仿宋_GB2312" w:hAnsi="仿宋_GB2312" w:eastAsia="仿宋_GB2312" w:cs="仿宋_GB2312"/>
          <w:color w:val="auto"/>
          <w:sz w:val="32"/>
          <w:szCs w:val="32"/>
          <w:highlight w:val="none"/>
          <w:lang w:val="en-US" w:eastAsia="zh-CN"/>
        </w:rPr>
        <w:t>推进加拿大一枝黄花、福寿螺、互花米草等外来入侵生物整治，强化源头预防、综合治理、联防联控、群防群治，不断提升外来入侵物种防治水平，逐步恢复本土动植物生境。加强野生动物保护力度，依法禁止猎捕以及其他妨碍野生动物生息繁衍的活动，以打造“鸟的天堂”“鱼的乐园”为目标，优化野生动植物生长环境，实施以中华鲟、长江江豚为代表的河口珍稀濒危水生生物抢救性保护行动，全方位提升生物多样性保护能力。深化古树名木“一树一码一策”数字化管护，开展“码上环境+古树名木”场景应用，延伸拓展“认建认养”“生活园艺”“古树地图”“古树故事”等古树物码服务功能，形成以古树名木为核心要素的综合查询和服务应用体系。</w:t>
      </w:r>
    </w:p>
    <w:p w14:paraId="3C424CA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（四）传承乡村文化根脉，焕发乡风文明建设新气象</w:t>
      </w:r>
    </w:p>
    <w:p w14:paraId="04A34F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rPr>
        <w:t>强化</w:t>
      </w:r>
      <w:r>
        <w:rPr>
          <w:rFonts w:hint="eastAsia" w:ascii="仿宋_GB2312" w:hAnsi="仿宋_GB2312" w:eastAsia="仿宋_GB2312" w:cs="仿宋_GB2312"/>
          <w:color w:val="auto"/>
          <w:sz w:val="32"/>
          <w:szCs w:val="32"/>
          <w:highlight w:val="none"/>
          <w:lang w:val="en-US" w:eastAsia="zh-CN"/>
        </w:rPr>
        <w:t>创新</w:t>
      </w:r>
      <w:r>
        <w:rPr>
          <w:rFonts w:hint="eastAsia" w:ascii="仿宋_GB2312" w:hAnsi="仿宋_GB2312" w:eastAsia="仿宋_GB2312" w:cs="仿宋_GB2312"/>
          <w:color w:val="auto"/>
          <w:sz w:val="32"/>
          <w:szCs w:val="32"/>
          <w:highlight w:val="none"/>
        </w:rPr>
        <w:t>理论与</w:t>
      </w:r>
      <w:r>
        <w:rPr>
          <w:rFonts w:hint="eastAsia" w:ascii="仿宋_GB2312" w:hAnsi="仿宋_GB2312" w:eastAsia="仿宋_GB2312" w:cs="仿宋_GB2312"/>
          <w:color w:val="auto"/>
          <w:sz w:val="32"/>
          <w:szCs w:val="32"/>
          <w:highlight w:val="none"/>
          <w:lang w:val="en-US" w:eastAsia="zh-CN"/>
        </w:rPr>
        <w:t>主流</w:t>
      </w:r>
      <w:r>
        <w:rPr>
          <w:rFonts w:hint="eastAsia" w:ascii="仿宋_GB2312" w:hAnsi="仿宋_GB2312" w:eastAsia="仿宋_GB2312" w:cs="仿宋_GB2312"/>
          <w:color w:val="auto"/>
          <w:sz w:val="32"/>
          <w:szCs w:val="32"/>
          <w:highlight w:val="none"/>
        </w:rPr>
        <w:t>价值传播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凝聚乡村共识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涵养文明新风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lang w:val="en-US" w:eastAsia="zh-CN"/>
        </w:rPr>
        <w:t>以传承发展中华优秀传统文化为核心，活化本土文化资源，织密公共文化服务网络，丰富优秀乡村文化产品和服务供给，为乡风文明建设擦亮人文底色。</w:t>
      </w:r>
    </w:p>
    <w:p w14:paraId="4D724A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color w:val="auto"/>
          <w:sz w:val="32"/>
          <w:szCs w:val="32"/>
          <w:highlight w:val="red"/>
          <w:lang w:val="en-US" w:eastAsia="zh-CN"/>
        </w:rPr>
      </w:pPr>
      <w:r>
        <w:rPr>
          <w:rFonts w:hint="eastAsia" w:ascii="仿宋_GB2312" w:hAnsi="仿宋_GB2312" w:eastAsia="仿宋_GB2312" w:cs="仿宋_GB2312"/>
          <w:b/>
          <w:bCs/>
          <w:color w:val="auto"/>
          <w:sz w:val="32"/>
          <w:szCs w:val="32"/>
          <w:highlight w:val="none"/>
          <w:lang w:val="en-US" w:eastAsia="zh-CN"/>
        </w:rPr>
        <w:t>1.深化农村精神文明建设</w:t>
      </w:r>
    </w:p>
    <w:p w14:paraId="4D8C8B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加强价值理论宣传。</w:t>
      </w:r>
      <w:r>
        <w:rPr>
          <w:rFonts w:hint="eastAsia" w:ascii="仿宋_GB2312" w:hAnsi="仿宋_GB2312" w:eastAsia="仿宋_GB2312" w:cs="仿宋_GB2312"/>
          <w:color w:val="auto"/>
          <w:kern w:val="0"/>
          <w:sz w:val="32"/>
          <w:szCs w:val="32"/>
          <w:highlight w:val="none"/>
          <w:lang w:val="en-US" w:eastAsia="zh-CN" w:bidi="ar"/>
        </w:rPr>
        <w:t>强化线上线下基层理论宣讲阵地建设，</w:t>
      </w:r>
      <w:r>
        <w:rPr>
          <w:rFonts w:hint="eastAsia" w:ascii="仿宋_GB2312" w:hAnsi="仿宋_GB2312" w:eastAsia="仿宋_GB2312" w:cs="仿宋_GB2312"/>
          <w:i w:val="0"/>
          <w:iCs w:val="0"/>
          <w:caps w:val="0"/>
          <w:color w:val="auto"/>
          <w:spacing w:val="0"/>
          <w:kern w:val="0"/>
          <w:sz w:val="32"/>
          <w:szCs w:val="32"/>
          <w:highlight w:val="none"/>
          <w:lang w:bidi="ar"/>
        </w:rPr>
        <w:t>推进党的创新理论宣讲与</w:t>
      </w:r>
      <w:r>
        <w:rPr>
          <w:rFonts w:hint="eastAsia" w:ascii="仿宋_GB2312" w:hAnsi="仿宋_GB2312" w:eastAsia="仿宋_GB2312" w:cs="仿宋_GB2312"/>
          <w:i w:val="0"/>
          <w:iCs w:val="0"/>
          <w:caps w:val="0"/>
          <w:color w:val="auto"/>
          <w:spacing w:val="0"/>
          <w:kern w:val="0"/>
          <w:sz w:val="32"/>
          <w:szCs w:val="32"/>
          <w:highlight w:val="none"/>
          <w:lang w:val="en-US" w:eastAsia="zh-CN" w:bidi="ar"/>
        </w:rPr>
        <w:t>创新</w:t>
      </w:r>
      <w:r>
        <w:rPr>
          <w:rFonts w:hint="eastAsia" w:ascii="仿宋_GB2312" w:hAnsi="仿宋_GB2312" w:eastAsia="仿宋_GB2312" w:cs="仿宋_GB2312"/>
          <w:i w:val="0"/>
          <w:iCs w:val="0"/>
          <w:caps w:val="0"/>
          <w:color w:val="auto"/>
          <w:spacing w:val="0"/>
          <w:kern w:val="0"/>
          <w:sz w:val="32"/>
          <w:szCs w:val="32"/>
          <w:highlight w:val="none"/>
          <w:lang w:bidi="ar"/>
        </w:rPr>
        <w:t>农村思想政治工作相结合</w:t>
      </w:r>
      <w:r>
        <w:rPr>
          <w:rFonts w:hint="eastAsia" w:ascii="仿宋_GB2312" w:hAnsi="仿宋_GB2312" w:eastAsia="仿宋_GB2312" w:cs="仿宋_GB2312"/>
          <w:i w:val="0"/>
          <w:iCs w:val="0"/>
          <w:caps w:val="0"/>
          <w:color w:val="auto"/>
          <w:spacing w:val="0"/>
          <w:kern w:val="0"/>
          <w:sz w:val="32"/>
          <w:szCs w:val="32"/>
          <w:highlight w:val="none"/>
          <w:lang w:eastAsia="zh-CN" w:bidi="ar"/>
        </w:rPr>
        <w:t>，</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与推动农村经济社会发展和乡村振兴</w:t>
      </w:r>
      <w:r>
        <w:rPr>
          <w:rFonts w:hint="eastAsia" w:ascii="仿宋_GB2312" w:hAnsi="仿宋_GB2312" w:eastAsia="仿宋_GB2312" w:cs="仿宋_GB2312"/>
          <w:i w:val="0"/>
          <w:iCs w:val="0"/>
          <w:caps w:val="0"/>
          <w:color w:val="auto"/>
          <w:spacing w:val="0"/>
          <w:kern w:val="0"/>
          <w:sz w:val="32"/>
          <w:szCs w:val="32"/>
          <w:highlight w:val="none"/>
          <w:lang w:bidi="ar"/>
        </w:rPr>
        <w:t>相结合，与激发党员干部群众精气神相结合，凝聚广泛共识</w:t>
      </w:r>
      <w:r>
        <w:rPr>
          <w:rFonts w:hint="eastAsia" w:ascii="仿宋_GB2312" w:hAnsi="仿宋_GB2312" w:eastAsia="仿宋_GB2312" w:cs="仿宋_GB2312"/>
          <w:i w:val="0"/>
          <w:iCs w:val="0"/>
          <w:caps w:val="0"/>
          <w:color w:val="auto"/>
          <w:spacing w:val="0"/>
          <w:kern w:val="0"/>
          <w:sz w:val="32"/>
          <w:szCs w:val="32"/>
          <w:highlight w:val="none"/>
          <w:lang w:eastAsia="zh-CN" w:bidi="ar"/>
        </w:rPr>
        <w:t>，</w:t>
      </w:r>
      <w:r>
        <w:rPr>
          <w:rFonts w:hint="eastAsia" w:ascii="仿宋_GB2312" w:hAnsi="仿宋_GB2312" w:eastAsia="仿宋_GB2312" w:cs="仿宋_GB2312"/>
          <w:i w:val="0"/>
          <w:iCs w:val="0"/>
          <w:caps w:val="0"/>
          <w:color w:val="auto"/>
          <w:spacing w:val="0"/>
          <w:kern w:val="0"/>
          <w:sz w:val="32"/>
          <w:szCs w:val="32"/>
          <w:highlight w:val="none"/>
          <w:lang w:bidi="ar"/>
        </w:rPr>
        <w:t>汇聚</w:t>
      </w:r>
      <w:r>
        <w:rPr>
          <w:rFonts w:hint="eastAsia" w:ascii="仿宋_GB2312" w:hAnsi="仿宋_GB2312" w:eastAsia="仿宋_GB2312" w:cs="仿宋_GB2312"/>
          <w:i w:val="0"/>
          <w:iCs w:val="0"/>
          <w:caps w:val="0"/>
          <w:color w:val="auto"/>
          <w:spacing w:val="0"/>
          <w:kern w:val="0"/>
          <w:sz w:val="32"/>
          <w:szCs w:val="32"/>
          <w:highlight w:val="none"/>
          <w:lang w:val="en-US" w:eastAsia="zh-CN" w:bidi="ar"/>
        </w:rPr>
        <w:t>奋进</w:t>
      </w:r>
      <w:r>
        <w:rPr>
          <w:rFonts w:hint="eastAsia" w:ascii="仿宋_GB2312" w:hAnsi="仿宋_GB2312" w:eastAsia="仿宋_GB2312" w:cs="仿宋_GB2312"/>
          <w:i w:val="0"/>
          <w:iCs w:val="0"/>
          <w:caps w:val="0"/>
          <w:color w:val="auto"/>
          <w:spacing w:val="0"/>
          <w:kern w:val="0"/>
          <w:sz w:val="32"/>
          <w:szCs w:val="32"/>
          <w:highlight w:val="none"/>
          <w:lang w:bidi="ar"/>
        </w:rPr>
        <w:t>力量</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弘扬社会主义核心价值观，</w:t>
      </w:r>
      <w:r>
        <w:rPr>
          <w:rFonts w:hint="eastAsia" w:ascii="仿宋_GB2312" w:hAnsi="仿宋_GB2312" w:eastAsia="仿宋_GB2312" w:cs="仿宋_GB2312"/>
          <w:color w:val="auto"/>
          <w:sz w:val="32"/>
          <w:szCs w:val="32"/>
          <w:highlight w:val="none"/>
          <w:lang w:val="en-US" w:eastAsia="zh-CN"/>
        </w:rPr>
        <w:t>深入推进分众化、具象化宣传教育，开展农村喜闻乐见的主题活动，推动社会主义核心价值观在农村落地生根</w:t>
      </w:r>
      <w:r>
        <w:rPr>
          <w:rFonts w:ascii="仿宋_GB2312" w:hAnsi="仿宋_GB2312" w:eastAsia="仿宋_GB2312" w:cs="仿宋_GB2312"/>
          <w:color w:val="auto"/>
          <w:kern w:val="0"/>
          <w:sz w:val="32"/>
          <w:szCs w:val="32"/>
          <w:highlight w:val="none"/>
          <w:lang w:val="en-US" w:eastAsia="zh-CN" w:bidi="ar"/>
        </w:rPr>
        <w:t>。</w:t>
      </w:r>
    </w:p>
    <w:p w14:paraId="07A591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培育新时代文明乡风。</w:t>
      </w:r>
      <w:r>
        <w:rPr>
          <w:rFonts w:hint="eastAsia" w:ascii="仿宋_GB2312" w:hAnsi="仿宋_GB2312" w:eastAsia="仿宋_GB2312" w:cs="仿宋_GB2312"/>
          <w:b w:val="0"/>
          <w:bCs w:val="0"/>
          <w:color w:val="auto"/>
          <w:sz w:val="32"/>
          <w:szCs w:val="32"/>
          <w:highlight w:val="none"/>
          <w:lang w:val="en-US" w:eastAsia="zh-CN"/>
        </w:rPr>
        <w:t>广泛</w:t>
      </w:r>
      <w:r>
        <w:rPr>
          <w:rFonts w:ascii="仿宋_GB2312" w:hAnsi="仿宋_GB2312" w:eastAsia="仿宋_GB2312" w:cs="仿宋_GB2312"/>
          <w:color w:val="auto"/>
          <w:kern w:val="0"/>
          <w:sz w:val="32"/>
          <w:szCs w:val="32"/>
          <w:highlight w:val="none"/>
          <w:lang w:val="en-US" w:eastAsia="zh-CN" w:bidi="ar"/>
        </w:rPr>
        <w:t>开展文明风尚行动，</w:t>
      </w:r>
      <w:r>
        <w:rPr>
          <w:rFonts w:hint="eastAsia" w:ascii="仿宋_GB2312" w:hAnsi="仿宋_GB2312" w:eastAsia="仿宋_GB2312" w:cs="仿宋_GB2312"/>
          <w:color w:val="auto"/>
          <w:kern w:val="0"/>
          <w:sz w:val="32"/>
          <w:szCs w:val="32"/>
          <w:highlight w:val="none"/>
          <w:lang w:val="en-US" w:eastAsia="zh-CN" w:bidi="ar"/>
        </w:rPr>
        <w:t>大力推进村居民睦邻修身、移风易俗除陋习，</w:t>
      </w:r>
      <w:r>
        <w:rPr>
          <w:rFonts w:ascii="仿宋_GB2312" w:hAnsi="仿宋_GB2312" w:eastAsia="仿宋_GB2312" w:cs="仿宋_GB2312"/>
          <w:color w:val="auto"/>
          <w:kern w:val="0"/>
          <w:sz w:val="32"/>
          <w:szCs w:val="32"/>
          <w:highlight w:val="none"/>
          <w:lang w:val="en-US" w:eastAsia="zh-CN" w:bidi="ar"/>
        </w:rPr>
        <w:t>深化网络文明</w:t>
      </w:r>
      <w:r>
        <w:rPr>
          <w:rFonts w:hint="eastAsia" w:ascii="仿宋_GB2312" w:hAnsi="仿宋_GB2312" w:eastAsia="仿宋_GB2312" w:cs="仿宋_GB2312"/>
          <w:color w:val="auto"/>
          <w:kern w:val="0"/>
          <w:sz w:val="32"/>
          <w:szCs w:val="32"/>
          <w:highlight w:val="none"/>
          <w:lang w:val="en-US" w:eastAsia="zh-CN" w:bidi="ar"/>
        </w:rPr>
        <w:t>建设，推动网上网下精神文明建设融合发展，壮大主流价值引领力，营造良好文明乡风。</w:t>
      </w:r>
      <w:r>
        <w:rPr>
          <w:rFonts w:ascii="仿宋_GB2312" w:hAnsi="仿宋_GB2312" w:eastAsia="仿宋_GB2312" w:cs="仿宋_GB2312"/>
          <w:color w:val="auto"/>
          <w:kern w:val="0"/>
          <w:sz w:val="32"/>
          <w:szCs w:val="32"/>
          <w:highlight w:val="none"/>
          <w:lang w:val="en-US" w:eastAsia="zh-CN" w:bidi="ar"/>
        </w:rPr>
        <w:t>打造文明实践特色品牌</w:t>
      </w:r>
      <w:r>
        <w:rPr>
          <w:rFonts w:hint="eastAsia" w:ascii="仿宋_GB2312" w:hAnsi="仿宋_GB2312" w:eastAsia="仿宋_GB2312" w:cs="仿宋_GB2312"/>
          <w:color w:val="auto"/>
          <w:kern w:val="0"/>
          <w:sz w:val="32"/>
          <w:szCs w:val="32"/>
          <w:highlight w:val="none"/>
          <w:lang w:val="en-US" w:eastAsia="zh-CN" w:bidi="ar"/>
        </w:rPr>
        <w:t>，</w:t>
      </w:r>
      <w:r>
        <w:rPr>
          <w:rFonts w:ascii="仿宋_GB2312" w:hAnsi="仿宋_GB2312" w:eastAsia="仿宋_GB2312" w:cs="仿宋_GB2312"/>
          <w:color w:val="auto"/>
          <w:kern w:val="0"/>
          <w:sz w:val="32"/>
          <w:szCs w:val="32"/>
          <w:highlight w:val="none"/>
          <w:lang w:val="en-US" w:eastAsia="zh-CN" w:bidi="ar"/>
        </w:rPr>
        <w:t>深化新时代文明实践中心建设，巩固提升全国文明城区创建</w:t>
      </w:r>
      <w:r>
        <w:rPr>
          <w:rFonts w:hint="eastAsia" w:ascii="仿宋_GB2312" w:hAnsi="仿宋_GB2312" w:eastAsia="仿宋_GB2312" w:cs="仿宋_GB2312"/>
          <w:color w:val="auto"/>
          <w:kern w:val="0"/>
          <w:sz w:val="32"/>
          <w:szCs w:val="32"/>
          <w:highlight w:val="none"/>
          <w:lang w:val="en-US" w:eastAsia="zh-CN" w:bidi="ar"/>
        </w:rPr>
        <w:t>成果</w:t>
      </w:r>
      <w:r>
        <w:rPr>
          <w:rFonts w:ascii="仿宋_GB2312" w:hAnsi="仿宋_GB2312" w:eastAsia="仿宋_GB2312" w:cs="仿宋_GB2312"/>
          <w:color w:val="auto"/>
          <w:kern w:val="0"/>
          <w:sz w:val="32"/>
          <w:szCs w:val="32"/>
          <w:highlight w:val="none"/>
          <w:lang w:val="en-US" w:eastAsia="zh-CN" w:bidi="ar"/>
        </w:rPr>
        <w:t>，深入开展文明村镇、文明单位、文明校园、文明家庭等各类创建活动</w:t>
      </w:r>
      <w:r>
        <w:rPr>
          <w:rFonts w:hint="eastAsia" w:ascii="仿宋_GB2312" w:hAnsi="仿宋_GB2312" w:eastAsia="仿宋_GB2312" w:cs="仿宋_GB2312"/>
          <w:color w:val="auto"/>
          <w:sz w:val="32"/>
          <w:szCs w:val="32"/>
          <w:highlight w:val="none"/>
          <w:lang w:val="en-US" w:eastAsia="zh-CN"/>
        </w:rPr>
        <w:t>，推动文明实践向精准化、常态化、品牌化迈进</w:t>
      </w:r>
      <w:r>
        <w:rPr>
          <w:rFonts w:ascii="仿宋_GB2312" w:hAnsi="仿宋_GB2312" w:eastAsia="仿宋_GB2312" w:cs="仿宋_GB2312"/>
          <w:color w:val="auto"/>
          <w:kern w:val="0"/>
          <w:sz w:val="32"/>
          <w:szCs w:val="32"/>
          <w:highlight w:val="none"/>
          <w:lang w:val="en-US" w:eastAsia="zh-CN" w:bidi="ar"/>
        </w:rPr>
        <w:t>。</w:t>
      </w:r>
    </w:p>
    <w:p w14:paraId="7468B2A2">
      <w:pPr>
        <w:pStyle w:val="2"/>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hAnsi="仿宋_GB2312" w:cs="仿宋_GB2312"/>
          <w:b w:val="0"/>
          <w:color w:val="auto"/>
          <w:kern w:val="0"/>
          <w:sz w:val="31"/>
          <w:szCs w:val="31"/>
          <w:highlight w:val="none"/>
          <w:lang w:val="en-US" w:eastAsia="zh-CN" w:bidi="ar"/>
        </w:rPr>
      </w:pPr>
      <w:r>
        <w:rPr>
          <w:rFonts w:hint="eastAsia" w:hAnsi="仿宋_GB2312" w:cs="仿宋_GB2312"/>
          <w:b/>
          <w:bCs/>
          <w:color w:val="auto"/>
          <w:kern w:val="0"/>
          <w:sz w:val="32"/>
          <w:szCs w:val="32"/>
          <w:highlight w:val="none"/>
          <w:lang w:val="en-US" w:eastAsia="zh-CN" w:bidi="ar"/>
        </w:rPr>
        <w:t>发挥典型示范作用</w:t>
      </w:r>
      <w:r>
        <w:rPr>
          <w:rFonts w:hint="eastAsia" w:ascii="仿宋_GB2312" w:hAnsi="仿宋_GB2312" w:eastAsia="仿宋_GB2312" w:cs="仿宋_GB2312"/>
          <w:b/>
          <w:bCs/>
          <w:color w:val="auto"/>
          <w:kern w:val="0"/>
          <w:sz w:val="32"/>
          <w:szCs w:val="32"/>
          <w:highlight w:val="none"/>
          <w:lang w:val="en-US" w:eastAsia="zh-CN" w:bidi="ar"/>
        </w:rPr>
        <w:t>。</w:t>
      </w:r>
      <w:r>
        <w:rPr>
          <w:rFonts w:hint="eastAsia" w:hAnsi="仿宋_GB2312" w:cs="仿宋_GB2312"/>
          <w:b w:val="0"/>
          <w:color w:val="auto"/>
          <w:kern w:val="0"/>
          <w:sz w:val="32"/>
          <w:szCs w:val="32"/>
          <w:highlight w:val="none"/>
          <w:lang w:val="en-US" w:eastAsia="zh-CN" w:bidi="ar"/>
        </w:rPr>
        <w:t>充分激活农村道德典型“崇德明礼”感召作用，深化</w:t>
      </w:r>
      <w:r>
        <w:rPr>
          <w:rFonts w:hint="eastAsia" w:ascii="仿宋_GB2312" w:hAnsi="仿宋_GB2312" w:eastAsia="仿宋_GB2312" w:cs="仿宋_GB2312"/>
          <w:b w:val="0"/>
          <w:color w:val="auto"/>
          <w:kern w:val="0"/>
          <w:sz w:val="32"/>
          <w:szCs w:val="32"/>
          <w:highlight w:val="none"/>
          <w:lang w:val="en-US" w:eastAsia="zh-CN" w:bidi="ar"/>
        </w:rPr>
        <w:t>“美德瀛洲 身边好人”、区道德模范、最美崇明人</w:t>
      </w:r>
      <w:r>
        <w:rPr>
          <w:rFonts w:hint="eastAsia" w:hAnsi="仿宋_GB2312" w:cs="仿宋_GB2312"/>
          <w:b w:val="0"/>
          <w:color w:val="auto"/>
          <w:kern w:val="0"/>
          <w:sz w:val="32"/>
          <w:szCs w:val="32"/>
          <w:highlight w:val="none"/>
          <w:lang w:val="en-US" w:eastAsia="zh-CN" w:bidi="ar"/>
        </w:rPr>
        <w:t>等道德典型常态选树机制，以榜样力量引领乡风民风向上向善。</w:t>
      </w:r>
      <w:r>
        <w:rPr>
          <w:rFonts w:hint="eastAsia" w:ascii="仿宋_GB2312" w:hAnsi="仿宋_GB2312" w:eastAsia="仿宋_GB2312" w:cs="仿宋_GB2312"/>
          <w:b w:val="0"/>
          <w:color w:val="auto"/>
          <w:kern w:val="0"/>
          <w:sz w:val="32"/>
          <w:szCs w:val="32"/>
          <w:highlight w:val="none"/>
          <w:lang w:val="en-US" w:eastAsia="zh-CN" w:bidi="ar"/>
        </w:rPr>
        <w:t>加强“诚信崇明”建设</w:t>
      </w:r>
      <w:r>
        <w:rPr>
          <w:rFonts w:hint="eastAsia" w:hAnsi="仿宋_GB2312" w:cs="仿宋_GB2312"/>
          <w:b w:val="0"/>
          <w:color w:val="auto"/>
          <w:kern w:val="0"/>
          <w:sz w:val="32"/>
          <w:szCs w:val="32"/>
          <w:highlight w:val="none"/>
          <w:lang w:val="en-US" w:eastAsia="zh-CN" w:bidi="ar"/>
        </w:rPr>
        <w:t>，</w:t>
      </w:r>
      <w:r>
        <w:rPr>
          <w:rFonts w:hint="eastAsia" w:ascii="仿宋_GB2312" w:hAnsi="仿宋_GB2312" w:eastAsia="仿宋_GB2312" w:cs="仿宋_GB2312"/>
          <w:b w:val="0"/>
          <w:color w:val="auto"/>
          <w:kern w:val="0"/>
          <w:sz w:val="32"/>
          <w:szCs w:val="32"/>
          <w:highlight w:val="none"/>
          <w:lang w:val="en-US" w:eastAsia="zh-CN" w:bidi="ar"/>
        </w:rPr>
        <w:t>褒扬诚信典型、曝光失信案例，开展市场主体信用承诺、诚信经营、放心消费主题实践活动</w:t>
      </w:r>
      <w:r>
        <w:rPr>
          <w:rFonts w:hint="eastAsia" w:hAnsi="仿宋_GB2312" w:cs="仿宋_GB2312"/>
          <w:b w:val="0"/>
          <w:color w:val="auto"/>
          <w:kern w:val="0"/>
          <w:sz w:val="32"/>
          <w:szCs w:val="32"/>
          <w:highlight w:val="none"/>
          <w:lang w:val="en-US" w:eastAsia="zh-CN" w:bidi="ar"/>
        </w:rPr>
        <w:t>，以政府的诚信建设推动诚信企业、诚信个人、诚信组织建设。</w:t>
      </w:r>
    </w:p>
    <w:p w14:paraId="1049FF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2.提高农村文化生活品质</w:t>
      </w:r>
    </w:p>
    <w:p w14:paraId="7CC951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完善公共文化服务体系。</w:t>
      </w:r>
      <w:r>
        <w:rPr>
          <w:rFonts w:hint="eastAsia" w:ascii="仿宋_GB2312" w:hAnsi="仿宋_GB2312" w:eastAsia="仿宋_GB2312" w:cs="仿宋_GB2312"/>
          <w:b w:val="0"/>
          <w:bCs w:val="0"/>
          <w:color w:val="auto"/>
          <w:kern w:val="2"/>
          <w:sz w:val="32"/>
          <w:szCs w:val="32"/>
          <w:highlight w:val="none"/>
          <w:lang w:val="en-US" w:eastAsia="zh-CN" w:bidi="ar-SA"/>
        </w:rPr>
        <w:t>提升社区文化生活品质，实施建成十年以上的公共文化设施升级改造计划，聚焦设施改造更新、服务空间拓展、服务时长优化、服务项目创新、运营治理提升等维度，推进18个社区文化活动中心更新提升。拓展新型公共文化服务空间，充分发挥区、镇、村三级文化场馆，爱国主义教育基地，红色文旅资源，历史文物建筑等主阵地作用，鼓励发展民间博物馆、展览馆、美术馆、纪念馆、图书馆等文化场所，结合景区、民宿、乡村公园、街心花园的文化植入，持续推进乡村空间文化赋能，生动传播崇明精神品格。</w:t>
      </w:r>
    </w:p>
    <w:p w14:paraId="37AD33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加大文化资源配送力度。</w:t>
      </w:r>
      <w:r>
        <w:rPr>
          <w:rFonts w:hint="eastAsia" w:ascii="仿宋_GB2312" w:hAnsi="仿宋_GB2312" w:eastAsia="仿宋_GB2312" w:cs="仿宋_GB2312"/>
          <w:color w:val="auto"/>
          <w:sz w:val="32"/>
          <w:szCs w:val="32"/>
          <w:highlight w:val="none"/>
          <w:lang w:val="en-US" w:eastAsia="zh-CN"/>
        </w:rPr>
        <w:t>完善市、区、乡镇、村居四级文化资源配送体系，增加纳入特色配送的本土文艺团队数量，支持本土文艺团队高品质发展，满足群众日益增长的精神文化需要。挖掘富有地域特色的优秀乡村文化资源，创作一批具有地方特色、时代特征、群众欢迎的乡村艺术作品，持续提升乡村文化供给的丰富度、便捷度和吸引力。广泛引入多种艺术形式和门类，多渠道征集群众意见，满足老年人、青少年、文艺爱好者等不同群体的多样化需求，增强人民群众的文化获得感与幸福感，助力乡村文化振兴与乡风文明建设</w:t>
      </w:r>
      <w:r>
        <w:rPr>
          <w:rFonts w:hint="eastAsia" w:ascii="仿宋_GB2312" w:hAnsi="仿宋_GB2312" w:eastAsia="仿宋_GB2312" w:cs="仿宋_GB2312"/>
          <w:color w:val="auto"/>
          <w:sz w:val="32"/>
          <w:szCs w:val="32"/>
          <w:highlight w:val="none"/>
          <w:lang w:eastAsia="zh-CN"/>
        </w:rPr>
        <w:t>。</w:t>
      </w:r>
    </w:p>
    <w:p w14:paraId="167524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ascii="仿宋_GB2312" w:hAnsi="仿宋_GB2312" w:eastAsia="仿宋_GB2312" w:cs="仿宋_GB2312"/>
          <w:color w:val="auto"/>
          <w:kern w:val="0"/>
          <w:sz w:val="31"/>
          <w:szCs w:val="31"/>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加强文化遗产保护传承。</w:t>
      </w:r>
      <w:r>
        <w:rPr>
          <w:rFonts w:hint="eastAsia" w:ascii="仿宋_GB2312" w:hAnsi="仿宋_GB2312" w:eastAsia="仿宋_GB2312" w:cs="仿宋_GB2312"/>
          <w:color w:val="auto"/>
          <w:sz w:val="32"/>
          <w:szCs w:val="32"/>
          <w:highlight w:val="none"/>
          <w:lang w:eastAsia="zh-CN"/>
        </w:rPr>
        <w:t>强化优秀传统文化保护传承，</w:t>
      </w:r>
      <w:r>
        <w:rPr>
          <w:rFonts w:hint="eastAsia" w:ascii="仿宋_GB2312" w:hAnsi="仿宋_GB2312" w:eastAsia="仿宋_GB2312" w:cs="仿宋_GB2312"/>
          <w:color w:val="auto"/>
          <w:sz w:val="32"/>
          <w:szCs w:val="32"/>
          <w:highlight w:val="none"/>
          <w:lang w:val="en-US" w:eastAsia="zh-CN"/>
        </w:rPr>
        <w:t>推进中国传统节日振兴，</w:t>
      </w:r>
      <w:r>
        <w:rPr>
          <w:rFonts w:hint="eastAsia" w:ascii="仿宋_GB2312" w:hAnsi="仿宋_GB2312" w:eastAsia="仿宋_GB2312" w:cs="仿宋_GB2312"/>
          <w:color w:val="auto"/>
          <w:sz w:val="32"/>
          <w:szCs w:val="32"/>
          <w:highlight w:val="none"/>
        </w:rPr>
        <w:t>深化“非遗在社区”“非遗在校园”等项目</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lang w:eastAsia="zh-CN"/>
        </w:rPr>
        <w:t>，积极探索文化遗产的活化利用途径，扩大非遗文化影响力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加强重点文物保护与管理，扎实推进文物安全防护工程建设，强化文物开发与宣传，修缮具有活化利用价值的文物建筑，充分利用多种媒体进行宣传科普，积极营造良好的文物保护氛围。</w:t>
      </w:r>
      <w:r>
        <w:rPr>
          <w:rFonts w:ascii="仿宋_GB2312" w:hAnsi="仿宋_GB2312" w:eastAsia="仿宋_GB2312" w:cs="仿宋_GB2312"/>
          <w:color w:val="auto"/>
          <w:kern w:val="0"/>
          <w:sz w:val="32"/>
          <w:szCs w:val="32"/>
          <w:highlight w:val="none"/>
          <w:lang w:val="en-US" w:eastAsia="zh-CN" w:bidi="ar"/>
        </w:rPr>
        <w:t>打造红色文化标识带，</w:t>
      </w:r>
      <w:r>
        <w:rPr>
          <w:rFonts w:hint="eastAsia" w:ascii="仿宋_GB2312" w:hAnsi="仿宋_GB2312" w:eastAsia="仿宋_GB2312" w:cs="仿宋_GB2312"/>
          <w:color w:val="auto"/>
          <w:kern w:val="0"/>
          <w:sz w:val="32"/>
          <w:szCs w:val="32"/>
          <w:highlight w:val="none"/>
          <w:lang w:val="en-US" w:eastAsia="zh-CN" w:bidi="ar"/>
        </w:rPr>
        <w:t>加强中共崇明县委机关旧址、崇明县工农兵代表会议旧址等一批历史建筑保护力度，</w:t>
      </w:r>
      <w:r>
        <w:rPr>
          <w:rFonts w:ascii="仿宋_GB2312" w:hAnsi="仿宋_GB2312" w:eastAsia="仿宋_GB2312" w:cs="仿宋_GB2312"/>
          <w:color w:val="auto"/>
          <w:kern w:val="0"/>
          <w:sz w:val="32"/>
          <w:szCs w:val="32"/>
          <w:highlight w:val="none"/>
          <w:lang w:val="en-US" w:eastAsia="zh-CN" w:bidi="ar"/>
        </w:rPr>
        <w:t>创设全域红色文化资源聚合平台</w:t>
      </w:r>
      <w:r>
        <w:rPr>
          <w:rFonts w:hint="eastAsia" w:ascii="仿宋_GB2312" w:hAnsi="仿宋_GB2312" w:eastAsia="仿宋_GB2312" w:cs="仿宋_GB2312"/>
          <w:color w:val="auto"/>
          <w:kern w:val="0"/>
          <w:sz w:val="32"/>
          <w:szCs w:val="32"/>
          <w:highlight w:val="none"/>
          <w:lang w:val="en-US" w:eastAsia="zh-CN" w:bidi="ar"/>
        </w:rPr>
        <w:t>，坚持用红色资源铸魂育人</w:t>
      </w:r>
      <w:r>
        <w:rPr>
          <w:rFonts w:ascii="仿宋_GB2312" w:hAnsi="仿宋_GB2312" w:eastAsia="仿宋_GB2312" w:cs="仿宋_GB2312"/>
          <w:color w:val="auto"/>
          <w:kern w:val="0"/>
          <w:sz w:val="32"/>
          <w:szCs w:val="32"/>
          <w:highlight w:val="none"/>
          <w:lang w:val="en-US" w:eastAsia="zh-CN" w:bidi="ar"/>
        </w:rPr>
        <w:t>。</w:t>
      </w:r>
    </w:p>
    <w:p w14:paraId="3D77CA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（五）健全乡村治理体系，开创乡村高效善治新局面</w:t>
      </w:r>
    </w:p>
    <w:p w14:paraId="1B74F1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kern w:val="0"/>
          <w:sz w:val="31"/>
          <w:szCs w:val="31"/>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以党建引领夯实乡村治理根基，建立健全现代乡村社会治理体系，全面激活乡村善治深层动能，深化自治法治德治协同，整合推动服务资源下沉，优化服务效能，打造共建共治共享的乡村治理新格局。</w:t>
      </w:r>
    </w:p>
    <w:p w14:paraId="30FE81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1.加强农村基层党组织建设</w:t>
      </w:r>
    </w:p>
    <w:p w14:paraId="5F2889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完善基层党组织队伍建设。</w:t>
      </w:r>
      <w:r>
        <w:rPr>
          <w:rFonts w:hint="eastAsia" w:ascii="仿宋_GB2312" w:hAnsi="仿宋_GB2312" w:eastAsia="仿宋_GB2312" w:cs="仿宋_GB2312"/>
          <w:color w:val="auto"/>
          <w:sz w:val="32"/>
          <w:szCs w:val="32"/>
          <w:highlight w:val="none"/>
          <w:lang w:val="en-US" w:eastAsia="zh-CN"/>
        </w:rPr>
        <w:t>深入推进抓党建促乡村振兴，坚持以党建引领基层治理，提高基层党组织领导能力。强化乡镇党委书记“一线施工队长”和村党组织书记“领头雁”作用，完成全区村居“两委”换届工作。开展“堡垒工程”，定期排查软弱涣散村党组织，规范党组织设置与党务工作，提升农村党组织标准化、规范化建设水平。推进城乡党组织结对帮扶，遴选派强驻村指导员到村担任第一书记，将派出单位组织优势和资源优势转化为村级发展势能。充分发挥到村任职选调生能力特长，激励选调生聚焦建强基层组织、破解基层难题、发展农村产业等工作勇于担当。</w:t>
      </w:r>
    </w:p>
    <w:p w14:paraId="2D4A08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优化农村党建工作网络。</w:t>
      </w:r>
      <w:r>
        <w:rPr>
          <w:rFonts w:hint="eastAsia" w:ascii="仿宋_GB2312" w:hAnsi="仿宋_GB2312" w:eastAsia="仿宋_GB2312" w:cs="仿宋_GB2312"/>
          <w:color w:val="auto"/>
          <w:sz w:val="32"/>
          <w:szCs w:val="32"/>
          <w:highlight w:val="none"/>
          <w:lang w:val="en-US" w:eastAsia="zh-CN"/>
        </w:rPr>
        <w:t>巩固党建“叶脉工程”成果，建立健全“家门口”党建同题共答机制，通过织密建强家门口组织体系、蓄足培优家门口队伍体系、发展壮大家门口产业体系、拓展优化家门口治理体系、完善深化家门口服务体系、转型升级家门口阵地体系，压紧压实“区—乡镇—村—微网格”各级党组织责任链条，完善常态化管理和应急管理动态衔接机制，进一步推动治理重心向基层下移、干部力量向基层充实，切实打通服务党员、服务群众的“最后一公里”，不断增强党在群众家门口的凝聚力、战斗力。</w:t>
      </w:r>
    </w:p>
    <w:p w14:paraId="57FC79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强化农村党员队伍建设。</w:t>
      </w:r>
      <w:r>
        <w:rPr>
          <w:rFonts w:hint="eastAsia" w:ascii="仿宋_GB2312" w:hAnsi="仿宋_GB2312" w:eastAsia="仿宋_GB2312" w:cs="仿宋_GB2312"/>
          <w:b w:val="0"/>
          <w:bCs w:val="0"/>
          <w:color w:val="auto"/>
          <w:sz w:val="32"/>
          <w:szCs w:val="32"/>
          <w:highlight w:val="none"/>
          <w:lang w:val="en-US" w:eastAsia="zh-CN"/>
        </w:rPr>
        <w:t>开展“铸魂工程”，深入实施习近平新时代中国特色社会主义思想学习教育计划，深化“党员进课堂 先锋讲党课”活动，严格执行“三会一课”、主题党日等组织生活制度，持续提升党员政治素养和创新理论武装水平。深化“先锋工程”，</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b w:val="0"/>
          <w:bCs w:val="0"/>
          <w:color w:val="auto"/>
          <w:sz w:val="32"/>
          <w:szCs w:val="32"/>
          <w:highlight w:val="none"/>
          <w:lang w:val="en-US" w:eastAsia="zh-CN"/>
        </w:rPr>
        <w:t>党员亮牌、设岗定责、揭榜挂帅、承诺践诺、风采展示等活动，引导农村党员发挥示范带头、表率先行作用，</w:t>
      </w:r>
      <w:r>
        <w:rPr>
          <w:rFonts w:hint="eastAsia" w:ascii="仿宋_GB2312" w:hAnsi="仿宋_GB2312" w:eastAsia="仿宋_GB2312" w:cs="仿宋_GB2312"/>
          <w:color w:val="auto"/>
          <w:sz w:val="32"/>
          <w:szCs w:val="32"/>
          <w:highlight w:val="none"/>
          <w:lang w:val="en-US" w:eastAsia="zh-CN"/>
        </w:rPr>
        <w:t>构建“群众有需求、党员有响应”的闭环服务体系。加强发展党员的全过程管理，严肃开展不合格党员组织处置。</w:t>
      </w:r>
    </w:p>
    <w:p w14:paraId="34D164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2.深化基层自治实践</w:t>
      </w:r>
    </w:p>
    <w:p w14:paraId="0B9A09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深化农村基层减负增效。</w:t>
      </w:r>
      <w:r>
        <w:rPr>
          <w:rFonts w:hint="eastAsia" w:ascii="仿宋_GB2312" w:hAnsi="仿宋_GB2312" w:eastAsia="仿宋_GB2312" w:cs="仿宋_GB2312"/>
          <w:color w:val="auto"/>
          <w:sz w:val="32"/>
          <w:szCs w:val="32"/>
          <w:highlight w:val="none"/>
          <w:lang w:val="en-US" w:eastAsia="zh-CN"/>
        </w:rPr>
        <w:t>构建科学规范的管理体系，严格控制对基层开展督查检查考核，建立跨部门联合督查机制，推行“一次督查、多项合一”模式。</w:t>
      </w:r>
      <w:r>
        <w:rPr>
          <w:rFonts w:hint="eastAsia" w:ascii="仿宋_GB2312" w:hAnsi="仿宋_GB2312" w:eastAsia="仿宋_GB2312" w:cs="仿宋_GB2312"/>
          <w:b w:val="0"/>
          <w:bCs w:val="0"/>
          <w:color w:val="auto"/>
          <w:kern w:val="2"/>
          <w:sz w:val="32"/>
          <w:szCs w:val="32"/>
          <w:highlight w:val="none"/>
          <w:lang w:val="en-US" w:eastAsia="zh-CN" w:bidi="ar-SA"/>
        </w:rPr>
        <w:t>严格落实本市村居组织“一办法两清单”</w:t>
      </w:r>
      <w:r>
        <w:rPr>
          <w:rStyle w:val="15"/>
          <w:rFonts w:hint="eastAsia" w:ascii="仿宋_GB2312" w:hAnsi="仿宋_GB2312" w:eastAsia="仿宋_GB2312" w:cs="仿宋_GB2312"/>
          <w:b w:val="0"/>
          <w:bCs w:val="0"/>
          <w:color w:val="auto"/>
          <w:kern w:val="2"/>
          <w:sz w:val="32"/>
          <w:szCs w:val="32"/>
          <w:highlight w:val="none"/>
          <w:lang w:val="en-US" w:eastAsia="zh-CN" w:bidi="ar-SA"/>
        </w:rPr>
        <w:footnoteReference w:id="5"/>
      </w:r>
      <w:r>
        <w:rPr>
          <w:rFonts w:hint="eastAsia" w:ascii="仿宋_GB2312" w:hAnsi="仿宋_GB2312" w:eastAsia="仿宋_GB2312" w:cs="仿宋_GB2312"/>
          <w:b w:val="0"/>
          <w:bCs w:val="0"/>
          <w:color w:val="auto"/>
          <w:kern w:val="2"/>
          <w:sz w:val="32"/>
          <w:szCs w:val="32"/>
          <w:highlight w:val="none"/>
          <w:lang w:val="en-US" w:eastAsia="zh-CN" w:bidi="ar-SA"/>
        </w:rPr>
        <w:t>，健全村级事务准入机制，加强对区级部门下派村居组织工作任务审核把关与动态跟踪评估，确保村居组织工作机制、挂牌规范到位，信息系统归集整合，清单之外无证明事项，不断巩固减负工作成果，让基层党员干部有更多精力服务群众。</w:t>
      </w:r>
    </w:p>
    <w:p w14:paraId="617D49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指导创新乡村治理模式。</w:t>
      </w:r>
      <w:r>
        <w:rPr>
          <w:rFonts w:hint="eastAsia" w:ascii="仿宋_GB2312" w:hAnsi="仿宋_GB2312" w:eastAsia="仿宋_GB2312" w:cs="仿宋_GB2312"/>
          <w:color w:val="auto"/>
          <w:sz w:val="32"/>
          <w:szCs w:val="32"/>
          <w:highlight w:val="none"/>
          <w:lang w:val="en-US" w:eastAsia="zh-CN"/>
        </w:rPr>
        <w:t>优化基层治理架构，坚持党建引领推进“多格合一”，建强“村民议事会”“链委会”“园委会”等议事平台，深入推行积分制、清单制、接诉即办等治理方式。深化村民自治和融合共治，用好“新版社区云”，健全基层群众自治机制，支持农民群众多渠道参与村级议事协商，推进农村公开决策、公开管理、公开监督。壮大基层治理力量，深入开展“五新”行动</w:t>
      </w:r>
      <w:r>
        <w:rPr>
          <w:rStyle w:val="15"/>
          <w:rFonts w:hint="eastAsia" w:ascii="仿宋_GB2312" w:hAnsi="仿宋_GB2312" w:eastAsia="仿宋_GB2312" w:cs="仿宋_GB2312"/>
          <w:color w:val="auto"/>
          <w:sz w:val="32"/>
          <w:szCs w:val="32"/>
          <w:highlight w:val="none"/>
          <w:lang w:val="en-US" w:eastAsia="zh-CN"/>
        </w:rPr>
        <w:footnoteReference w:id="6"/>
      </w:r>
      <w:r>
        <w:rPr>
          <w:rFonts w:hint="eastAsia" w:ascii="仿宋_GB2312" w:hAnsi="仿宋_GB2312" w:eastAsia="仿宋_GB2312" w:cs="仿宋_GB2312"/>
          <w:color w:val="auto"/>
          <w:sz w:val="32"/>
          <w:szCs w:val="32"/>
          <w:highlight w:val="none"/>
          <w:lang w:val="en-US" w:eastAsia="zh-CN"/>
        </w:rPr>
        <w:t>，充分动员新兴领域群体参与基层治理。依托区乡村振兴和社区治理学院，加强实战实训，提升村干部、村民小组长等基层治理骨干服务乡村治理、服务群众的能力水平。</w:t>
      </w:r>
    </w:p>
    <w:p w14:paraId="2EBC6B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3.推进乡村法治建设</w:t>
      </w:r>
    </w:p>
    <w:p w14:paraId="6EE702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健全乡村法治体系。</w:t>
      </w:r>
      <w:r>
        <w:rPr>
          <w:rFonts w:hint="eastAsia" w:ascii="仿宋_GB2312" w:hAnsi="仿宋_GB2312" w:eastAsia="仿宋_GB2312" w:cs="仿宋_GB2312"/>
          <w:color w:val="auto"/>
          <w:sz w:val="32"/>
          <w:szCs w:val="32"/>
          <w:highlight w:val="none"/>
          <w:lang w:val="en-US" w:eastAsia="zh-CN"/>
        </w:rPr>
        <w:t>坚持和发展新时代“枫桥经验”，规范完善各级综治中心建设，提升乡镇司法所规范化建设水平，发挥群防群治队伍作用，完善矛盾纠纷多元化解机制，筑牢乡村和谐稳定根基。深化法治乡村建设，持续推进“法治带头人”“法律明白人”培养工程，开展农村学法用法示范户培育认定和“全国民主法治示范村（社区）”创建，实现“一村（居）一顾问”全覆盖。</w:t>
      </w:r>
    </w:p>
    <w:p w14:paraId="03514F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深化平安法治理念。</w:t>
      </w:r>
      <w:r>
        <w:rPr>
          <w:rFonts w:hint="eastAsia" w:ascii="仿宋_GB2312" w:hAnsi="仿宋_GB2312" w:eastAsia="仿宋_GB2312" w:cs="仿宋_GB2312"/>
          <w:b w:val="0"/>
          <w:bCs w:val="0"/>
          <w:color w:val="auto"/>
          <w:kern w:val="2"/>
          <w:sz w:val="32"/>
          <w:szCs w:val="32"/>
          <w:highlight w:val="none"/>
          <w:lang w:val="en-US" w:eastAsia="zh-CN" w:bidi="ar-SA"/>
        </w:rPr>
        <w:t>大力弘扬社会主义法治文化，</w:t>
      </w:r>
      <w:r>
        <w:rPr>
          <w:rFonts w:hint="eastAsia" w:ascii="仿宋_GB2312" w:hAnsi="仿宋_GB2312" w:eastAsia="仿宋_GB2312" w:cs="仿宋_GB2312"/>
          <w:b w:val="0"/>
          <w:bCs w:val="0"/>
          <w:color w:val="auto"/>
          <w:sz w:val="32"/>
          <w:szCs w:val="32"/>
          <w:highlight w:val="none"/>
          <w:lang w:val="en-US" w:eastAsia="zh-CN"/>
        </w:rPr>
        <w:t>完善农业农村政策法规，加强普法宣传教育，形成全社会自觉学法、尊法、守法、用法的良好氛围。</w:t>
      </w:r>
      <w:r>
        <w:rPr>
          <w:rFonts w:hint="eastAsia" w:ascii="仿宋_GB2312" w:hAnsi="仿宋_GB2312" w:eastAsia="仿宋_GB2312" w:cs="仿宋_GB2312"/>
          <w:b w:val="0"/>
          <w:bCs w:val="0"/>
          <w:color w:val="auto"/>
          <w:kern w:val="2"/>
          <w:sz w:val="32"/>
          <w:szCs w:val="32"/>
          <w:highlight w:val="none"/>
          <w:lang w:val="en-US" w:eastAsia="zh-CN" w:bidi="ar-SA"/>
        </w:rPr>
        <w:t>深化平安乡村建设，健全农村扫黑除恶斗争常态化机制，坚决铲除农村黑恶势力滋生土壤，深入整治农村赌博陋习，严厉打击聚众赌博等违法活动，加强毒品预防教育与涉毒线索排查，严厉打击涉农领域传销、诈骗等经济犯罪，守护乡村安宁与群众财产安全。</w:t>
      </w:r>
    </w:p>
    <w:p w14:paraId="2122FB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（六）拓宽多元增收路径，谱写农民生活富裕新篇章</w:t>
      </w:r>
    </w:p>
    <w:p w14:paraId="0CC71A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highlight w:val="none"/>
          <w:lang w:val="en-US" w:eastAsia="zh-CN"/>
        </w:rPr>
      </w:pP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rPr>
        <w:t>促进农民增收为目标，</w:t>
      </w:r>
      <w:r>
        <w:rPr>
          <w:rFonts w:hint="eastAsia" w:ascii="仿宋_GB2312" w:hAnsi="仿宋_GB2312" w:eastAsia="仿宋_GB2312" w:cs="仿宋_GB2312"/>
          <w:color w:val="auto"/>
          <w:sz w:val="32"/>
          <w:szCs w:val="32"/>
          <w:highlight w:val="none"/>
          <w:lang w:eastAsia="zh-CN"/>
        </w:rPr>
        <w:t>提升乡村经济水平，</w:t>
      </w:r>
      <w:r>
        <w:rPr>
          <w:rFonts w:hint="eastAsia" w:ascii="仿宋_GB2312" w:hAnsi="仿宋_GB2312" w:eastAsia="仿宋_GB2312" w:cs="仿宋_GB2312"/>
          <w:color w:val="auto"/>
          <w:sz w:val="32"/>
          <w:szCs w:val="32"/>
          <w:highlight w:val="none"/>
          <w:u w:val="none"/>
          <w:lang w:val="en-US" w:eastAsia="zh-CN"/>
        </w:rPr>
        <w:t>保障和改善农村民生，提供优质化、特色化、个性化的高质量农村公共服务，不断增强人民群众的获得感、幸福感。</w:t>
      </w:r>
    </w:p>
    <w:p w14:paraId="6D56C2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1.多渠道促进农民持续增收</w:t>
      </w:r>
    </w:p>
    <w:p w14:paraId="787250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DejaVu Sans" w:hAnsi="DejaVu Sans" w:eastAsia="仿宋_GB2312" w:cs="DejaVu Sans"/>
          <w:b/>
          <w:bCs/>
          <w:color w:val="auto"/>
          <w:sz w:val="32"/>
          <w:szCs w:val="32"/>
          <w:highlight w:val="none"/>
          <w:lang w:val="en-US" w:eastAsia="zh-CN"/>
        </w:rPr>
        <w:t>促进</w:t>
      </w:r>
      <w:r>
        <w:rPr>
          <w:rFonts w:hint="eastAsia" w:ascii="仿宋_GB2312" w:hAnsi="仿宋_GB2312" w:eastAsia="仿宋_GB2312" w:cs="仿宋_GB2312"/>
          <w:b/>
          <w:bCs/>
          <w:color w:val="auto"/>
          <w:sz w:val="32"/>
          <w:szCs w:val="32"/>
          <w:highlight w:val="none"/>
          <w:lang w:val="en-US" w:eastAsia="zh-CN"/>
        </w:rPr>
        <w:t>农民产业增收。</w:t>
      </w:r>
      <w:r>
        <w:rPr>
          <w:rFonts w:hint="eastAsia" w:ascii="仿宋_GB2312" w:hAnsi="仿宋_GB2312" w:eastAsia="仿宋_GB2312" w:cs="仿宋_GB2312"/>
          <w:b w:val="0"/>
          <w:bCs w:val="0"/>
          <w:color w:val="auto"/>
          <w:sz w:val="32"/>
          <w:szCs w:val="32"/>
          <w:highlight w:val="none"/>
          <w:lang w:val="en-US" w:eastAsia="zh-CN"/>
        </w:rPr>
        <w:t>布局</w:t>
      </w:r>
      <w:r>
        <w:rPr>
          <w:rFonts w:hint="eastAsia" w:ascii="仿宋_GB2312" w:hAnsi="仿宋_GB2312" w:eastAsia="仿宋_GB2312" w:cs="仿宋_GB2312"/>
          <w:color w:val="auto"/>
          <w:sz w:val="32"/>
          <w:szCs w:val="32"/>
          <w:highlight w:val="none"/>
          <w:lang w:val="en-US" w:eastAsia="zh-CN"/>
        </w:rPr>
        <w:t>乡村产业新业态，提升农业产业的装备水平、规模水平和融合水平，增强乡村产业就业带动能力。</w:t>
      </w:r>
      <w:r>
        <w:rPr>
          <w:rFonts w:hint="eastAsia" w:ascii="仿宋_GB2312" w:hAnsi="仿宋_GB2312" w:eastAsia="仿宋_GB2312" w:cs="仿宋_GB2312"/>
          <w:b w:val="0"/>
          <w:bCs w:val="0"/>
          <w:color w:val="auto"/>
          <w:kern w:val="2"/>
          <w:sz w:val="32"/>
          <w:szCs w:val="32"/>
          <w:highlight w:val="none"/>
          <w:lang w:val="en-US" w:eastAsia="zh-CN" w:bidi="ar-SA"/>
        </w:rPr>
        <w:t>通过政策激励、组织引导、市场推动等措施，大力支持农民发展特色种植、林下经济、休闲康养等产业，因地制宜发展庭院经济，拓展增收空间。</w:t>
      </w:r>
    </w:p>
    <w:p w14:paraId="6780FF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DejaVu Sans" w:hAnsi="DejaVu Sans" w:eastAsia="仿宋_GB2312" w:cs="DejaVu Sans"/>
          <w:b/>
          <w:bCs/>
          <w:color w:val="auto"/>
          <w:sz w:val="32"/>
          <w:szCs w:val="32"/>
          <w:highlight w:val="none"/>
          <w:lang w:val="en-US" w:eastAsia="zh-CN"/>
        </w:rPr>
        <w:t>提高农民就业能力</w:t>
      </w:r>
      <w:r>
        <w:rPr>
          <w:rFonts w:hint="eastAsia" w:eastAsia="仿宋_GB2312" w:cs="DejaVu Sans"/>
          <w:b/>
          <w:bCs/>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制定新一轮区级就业扶持政策，支持农村富余劳动力实现非农就业。深化职业技能提升行动，落实职业技能提升系列补贴政策，支持企业根据发展需要开展企业职工职业培训，提升劳动者职业素养，提高就业竞争力。深化基层就业服务体系，依托“15分钟就业服务圈”社区就业服务站点，为农民提供就近便捷的公共就业服务。充分利用“乐业上海第一站”“崇明就业·公共招聘”等平台精准推送岗位信息，持续提高农民就业对接效能。</w:t>
      </w:r>
    </w:p>
    <w:p w14:paraId="26000C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eastAsia="仿宋_GB2312" w:cs="DejaVu Sans"/>
          <w:b/>
          <w:bCs/>
          <w:color w:val="auto"/>
          <w:sz w:val="32"/>
          <w:szCs w:val="32"/>
          <w:highlight w:val="none"/>
          <w:lang w:val="en-US" w:eastAsia="zh-CN"/>
        </w:rPr>
        <w:t>提升</w:t>
      </w:r>
      <w:r>
        <w:rPr>
          <w:rFonts w:hint="eastAsia" w:ascii="仿宋_GB2312" w:hAnsi="仿宋_GB2312" w:eastAsia="仿宋_GB2312" w:cs="仿宋_GB2312"/>
          <w:b/>
          <w:bCs/>
          <w:color w:val="auto"/>
          <w:sz w:val="32"/>
          <w:szCs w:val="32"/>
          <w:highlight w:val="none"/>
          <w:lang w:val="en-US" w:eastAsia="zh-CN"/>
        </w:rPr>
        <w:t>社会保障水平。</w:t>
      </w:r>
      <w:r>
        <w:rPr>
          <w:rFonts w:hint="eastAsia" w:ascii="仿宋_GB2312" w:hAnsi="仿宋_GB2312" w:eastAsia="仿宋_GB2312" w:cs="仿宋_GB2312"/>
          <w:b w:val="0"/>
          <w:bCs w:val="0"/>
          <w:color w:val="auto"/>
          <w:kern w:val="2"/>
          <w:sz w:val="32"/>
          <w:szCs w:val="32"/>
          <w:highlight w:val="none"/>
          <w:lang w:val="en-US" w:eastAsia="zh-CN" w:bidi="ar-SA"/>
        </w:rPr>
        <w:t>持续实施全民参保计划，稳步推进长期护理保险制度，织牢织密城乡居民养老保障网，合理调整城乡居民养老金，实施生态养老补贴，保持城乡居保养老金平均水平不低于全市平均水平。健全社会救助体系，贯彻落实高龄倾斜、困难人员代缴政策，完善空巢老人、困境儿童、残疾人等群体服务保障体系。落实被征地人员社会保障，做好征地养老人员生活费、医疗补助费等发放工作。持续开展无账户人员参保扩覆，坚持“多缴多得、长缴多得”养老理念。</w:t>
      </w:r>
    </w:p>
    <w:p w14:paraId="414CB5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2.优化农村公共服务供给体系</w:t>
      </w:r>
    </w:p>
    <w:p w14:paraId="5CA22C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推进基础公共服务升级。</w:t>
      </w:r>
      <w:r>
        <w:rPr>
          <w:rFonts w:hint="eastAsia" w:ascii="仿宋_GB2312" w:hAnsi="仿宋_GB2312" w:eastAsia="仿宋_GB2312" w:cs="仿宋_GB2312"/>
          <w:color w:val="auto"/>
          <w:sz w:val="32"/>
          <w:szCs w:val="32"/>
          <w:highlight w:val="none"/>
          <w:lang w:val="en-US" w:eastAsia="zh-CN"/>
        </w:rPr>
        <w:t>优化农村教育资源布局，加快义务教育优质均衡发展，稳慎推进小规模学校撤并，保留并办好必要的乡村学校。加强农村体育公共服务供给，</w:t>
      </w:r>
      <w:r>
        <w:rPr>
          <w:rFonts w:hint="eastAsia" w:ascii="仿宋_GB2312" w:hAnsi="仿宋_GB2312" w:eastAsia="仿宋_GB2312" w:cs="仿宋_GB2312"/>
          <w:color w:val="auto"/>
          <w:sz w:val="32"/>
          <w:szCs w:val="32"/>
          <w:highlight w:val="none"/>
          <w:lang w:eastAsia="zh-CN"/>
        </w:rPr>
        <w:t>推进区文体中心、东滩市民健身中心、长兴市民健身中心等场馆建设，实现市民健身驿站和长者运动健康之家乡镇全覆盖。</w:t>
      </w:r>
      <w:r>
        <w:rPr>
          <w:rFonts w:hint="eastAsia" w:ascii="仿宋_GB2312" w:hAnsi="仿宋_GB2312" w:eastAsia="仿宋_GB2312" w:cs="仿宋_GB2312"/>
          <w:color w:val="auto"/>
          <w:sz w:val="32"/>
          <w:szCs w:val="32"/>
          <w:highlight w:val="none"/>
          <w:lang w:val="en-US" w:eastAsia="zh-CN"/>
        </w:rPr>
        <w:t>完善农村医疗服务体系，统筹城乡医疗资源布局，有序推进社区卫生服务中心标准化建设、卫生服务站改造，持续提升卫生与健康服务能力。</w:t>
      </w:r>
    </w:p>
    <w:p w14:paraId="224E01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推动养老托育协同发展。</w:t>
      </w:r>
      <w:r>
        <w:rPr>
          <w:rFonts w:hint="eastAsia" w:ascii="仿宋_GB2312" w:hAnsi="仿宋_GB2312" w:eastAsia="仿宋_GB2312" w:cs="仿宋_GB2312"/>
          <w:color w:val="auto"/>
          <w:sz w:val="32"/>
          <w:szCs w:val="32"/>
          <w:highlight w:val="none"/>
          <w:lang w:val="en-US" w:eastAsia="zh-CN"/>
        </w:rPr>
        <w:t>提升农村地区养老服务水平，完善“镇有院、村有室、组有点”服务网络，推进社区嵌入式养老设施建设，提高社区养老服务资源利用效率。加强农村地区散居特困供养、</w:t>
      </w:r>
      <w:r>
        <w:rPr>
          <w:rFonts w:hint="default" w:ascii="仿宋_GB2312" w:hAnsi="仿宋_GB2312" w:eastAsia="仿宋_GB2312" w:cs="仿宋_GB2312"/>
          <w:color w:val="auto"/>
          <w:sz w:val="32"/>
          <w:szCs w:val="32"/>
          <w:highlight w:val="none"/>
          <w:lang w:val="en-US" w:eastAsia="zh-CN"/>
        </w:rPr>
        <w:t>重残</w:t>
      </w:r>
      <w:r>
        <w:rPr>
          <w:rFonts w:hint="eastAsia" w:ascii="仿宋_GB2312" w:hAnsi="仿宋_GB2312" w:eastAsia="仿宋_GB2312" w:cs="仿宋_GB2312"/>
          <w:color w:val="auto"/>
          <w:sz w:val="32"/>
          <w:szCs w:val="32"/>
          <w:highlight w:val="none"/>
          <w:lang w:val="en-US" w:eastAsia="zh-CN"/>
        </w:rPr>
        <w:t>、计划生育特殊家庭、独居、纯老、重度失能等老年人探访关爱服务。发展普惠托育服务体系，新增公办幼儿园托班和社区托育服务，围绕队伍建设、照护方案制定、环境创设及家园互动等方面，开展社区托育“宝宝屋”扩优提质建设。</w:t>
      </w:r>
    </w:p>
    <w:p w14:paraId="1FEC1C3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DejaVu Sans" w:eastAsia="仿宋_GB2312" w:cs="DejaVu Sans"/>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（七）深化农村综合改革，激发乡村全面振兴新动能</w:t>
      </w:r>
    </w:p>
    <w:p w14:paraId="79D60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highlight w:val="none"/>
          <w:lang w:val="en-US" w:eastAsia="zh-CN"/>
        </w:rPr>
      </w:pPr>
      <w:r>
        <w:rPr>
          <w:rFonts w:hint="eastAsia" w:ascii="仿宋_GB2312" w:hAnsi="仿宋_GB2312" w:eastAsia="仿宋_GB2312" w:cs="仿宋_GB2312"/>
          <w:color w:val="auto"/>
          <w:sz w:val="32"/>
          <w:szCs w:val="32"/>
          <w:highlight w:val="none"/>
          <w:u w:val="none"/>
          <w:lang w:val="en-US" w:eastAsia="zh-CN"/>
        </w:rPr>
        <w:t>以农村综合改革为重要抓手，破解农村发展瓶颈难题，开展农村集体产权、“三块地”改革，</w:t>
      </w:r>
      <w:r>
        <w:rPr>
          <w:rFonts w:hint="eastAsia" w:ascii="仿宋_GB2312" w:hAnsi="仿宋_GB2312" w:eastAsia="仿宋_GB2312" w:cs="仿宋_GB2312"/>
          <w:color w:val="auto"/>
          <w:sz w:val="32"/>
          <w:szCs w:val="32"/>
          <w:highlight w:val="none"/>
          <w:lang w:val="en-US" w:eastAsia="zh-CN"/>
        </w:rPr>
        <w:t>多层次、多渠道、多形式增强农村集体经济自我发展和可持续发展能力</w:t>
      </w:r>
      <w:r>
        <w:rPr>
          <w:rFonts w:hint="eastAsia" w:ascii="仿宋_GB2312" w:hAnsi="仿宋_GB2312" w:eastAsia="仿宋_GB2312" w:cs="仿宋_GB2312"/>
          <w:color w:val="auto"/>
          <w:sz w:val="32"/>
          <w:szCs w:val="32"/>
          <w:highlight w:val="none"/>
          <w:u w:val="none"/>
          <w:lang w:val="en-US" w:eastAsia="zh-CN"/>
        </w:rPr>
        <w:t>，壮大</w:t>
      </w:r>
      <w:r>
        <w:rPr>
          <w:rFonts w:hint="eastAsia" w:ascii="仿宋_GB2312" w:hAnsi="仿宋_GB2312" w:eastAsia="仿宋_GB2312" w:cs="仿宋_GB2312"/>
          <w:color w:val="auto"/>
          <w:sz w:val="32"/>
          <w:szCs w:val="32"/>
          <w:highlight w:val="none"/>
        </w:rPr>
        <w:t>农村集体经济</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none"/>
          <w:lang w:val="en-US" w:eastAsia="zh-CN"/>
        </w:rPr>
        <w:t>为推进乡村全面振兴注入新动力。</w:t>
      </w:r>
    </w:p>
    <w:p w14:paraId="71DE05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DejaVu Sans" w:eastAsia="仿宋_GB2312" w:cs="DejaVu Sans"/>
          <w:b/>
          <w:bCs/>
          <w:color w:val="auto"/>
          <w:kern w:val="2"/>
          <w:sz w:val="32"/>
          <w:szCs w:val="32"/>
          <w:highlight w:val="none"/>
          <w:lang w:val="en-US" w:eastAsia="zh-CN" w:bidi="ar-SA"/>
        </w:rPr>
      </w:pPr>
      <w:r>
        <w:rPr>
          <w:rFonts w:hint="eastAsia" w:ascii="仿宋_GB2312" w:eastAsia="仿宋_GB2312" w:cs="DejaVu Sans"/>
          <w:b/>
          <w:bCs/>
          <w:color w:val="auto"/>
          <w:kern w:val="2"/>
          <w:sz w:val="32"/>
          <w:szCs w:val="32"/>
          <w:highlight w:val="none"/>
          <w:lang w:val="en-US" w:eastAsia="zh-CN" w:bidi="ar-SA"/>
        </w:rPr>
        <w:t>1.</w:t>
      </w:r>
      <w:r>
        <w:rPr>
          <w:rFonts w:hint="eastAsia" w:ascii="仿宋_GB2312" w:hAnsi="DejaVu Sans" w:eastAsia="仿宋_GB2312" w:cs="DejaVu Sans"/>
          <w:b/>
          <w:bCs/>
          <w:color w:val="auto"/>
          <w:kern w:val="2"/>
          <w:sz w:val="32"/>
          <w:szCs w:val="32"/>
          <w:highlight w:val="none"/>
          <w:lang w:val="en-US" w:eastAsia="zh-CN" w:bidi="ar-SA"/>
        </w:rPr>
        <w:t>深化农村集体产权制度改革</w:t>
      </w:r>
    </w:p>
    <w:p w14:paraId="6A22B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DejaVu Sans" w:eastAsia="仿宋_GB2312" w:cs="DejaVu Sans"/>
          <w:color w:val="auto"/>
          <w:kern w:val="2"/>
          <w:sz w:val="32"/>
          <w:szCs w:val="32"/>
          <w:highlight w:val="none"/>
          <w:lang w:val="en-US" w:eastAsia="zh-CN" w:bidi="ar-SA"/>
        </w:rPr>
      </w:pPr>
      <w:r>
        <w:rPr>
          <w:rFonts w:hint="eastAsia" w:ascii="仿宋_GB2312" w:hAnsi="DejaVu Sans" w:eastAsia="仿宋_GB2312" w:cs="DejaVu Sans"/>
          <w:b/>
          <w:bCs/>
          <w:color w:val="auto"/>
          <w:kern w:val="2"/>
          <w:sz w:val="32"/>
          <w:szCs w:val="32"/>
          <w:highlight w:val="none"/>
          <w:lang w:val="en-US" w:eastAsia="zh-CN" w:bidi="ar-SA"/>
        </w:rPr>
        <w:t>完善农村产权市场化交易机制</w:t>
      </w:r>
      <w:r>
        <w:rPr>
          <w:rFonts w:hint="eastAsia" w:ascii="仿宋_GB2312" w:eastAsia="仿宋_GB2312" w:cs="DejaVu Sans"/>
          <w:b/>
          <w:bCs/>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促进资源要素高效配置，</w:t>
      </w:r>
      <w:r>
        <w:rPr>
          <w:rFonts w:hint="eastAsia" w:ascii="仿宋_GB2312" w:hAnsi="DejaVu Sans" w:eastAsia="仿宋_GB2312" w:cs="DejaVu Sans"/>
          <w:b w:val="0"/>
          <w:bCs w:val="0"/>
          <w:color w:val="auto"/>
          <w:kern w:val="2"/>
          <w:sz w:val="32"/>
          <w:szCs w:val="32"/>
          <w:highlight w:val="none"/>
          <w:lang w:val="en-US" w:eastAsia="zh-CN" w:bidi="ar-SA"/>
        </w:rPr>
        <w:t>健全农村生态产品价值评价体系</w:t>
      </w:r>
      <w:r>
        <w:rPr>
          <w:rFonts w:hint="eastAsia" w:ascii="仿宋_GB2312" w:eastAsia="仿宋_GB2312" w:cs="DejaVu Sans"/>
          <w:b w:val="0"/>
          <w:bCs w:val="0"/>
          <w:color w:val="auto"/>
          <w:kern w:val="2"/>
          <w:sz w:val="32"/>
          <w:szCs w:val="32"/>
          <w:highlight w:val="none"/>
          <w:lang w:val="en-US" w:eastAsia="zh-CN" w:bidi="ar-SA"/>
        </w:rPr>
        <w:t>，</w:t>
      </w:r>
      <w:r>
        <w:rPr>
          <w:rFonts w:hint="eastAsia" w:ascii="仿宋_GB2312" w:hAnsi="DejaVu Sans" w:eastAsia="仿宋_GB2312" w:cs="DejaVu Sans"/>
          <w:b w:val="0"/>
          <w:bCs w:val="0"/>
          <w:color w:val="auto"/>
          <w:kern w:val="2"/>
          <w:sz w:val="32"/>
          <w:szCs w:val="32"/>
          <w:highlight w:val="none"/>
          <w:lang w:val="en-US" w:eastAsia="zh-CN" w:bidi="ar-SA"/>
        </w:rPr>
        <w:t>探索土地承包经营权等生态权益市场交易模式。</w:t>
      </w:r>
      <w:r>
        <w:rPr>
          <w:rFonts w:hint="eastAsia" w:ascii="仿宋_GB2312" w:hAnsi="DejaVu Sans" w:eastAsia="仿宋_GB2312" w:cs="DejaVu Sans"/>
          <w:color w:val="auto"/>
          <w:kern w:val="2"/>
          <w:sz w:val="32"/>
          <w:szCs w:val="32"/>
          <w:highlight w:val="none"/>
          <w:lang w:val="en-US" w:eastAsia="zh-CN" w:bidi="ar-SA"/>
        </w:rPr>
        <w:t>推动农村产权进入市场公开交易，坚持“应进必进”“</w:t>
      </w:r>
      <w:r>
        <w:rPr>
          <w:rFonts w:hint="eastAsia" w:ascii="仿宋_GB2312" w:eastAsia="仿宋_GB2312" w:cs="DejaVu Sans"/>
          <w:color w:val="auto"/>
          <w:kern w:val="2"/>
          <w:sz w:val="32"/>
          <w:szCs w:val="32"/>
          <w:highlight w:val="none"/>
          <w:lang w:val="en-US" w:eastAsia="zh-CN" w:bidi="ar-SA"/>
        </w:rPr>
        <w:t>一网交易</w:t>
      </w:r>
      <w:r>
        <w:rPr>
          <w:rFonts w:hint="eastAsia" w:ascii="仿宋_GB2312" w:hAnsi="DejaVu Sans" w:eastAsia="仿宋_GB2312" w:cs="DejaVu Sans"/>
          <w:color w:val="auto"/>
          <w:kern w:val="2"/>
          <w:sz w:val="32"/>
          <w:szCs w:val="32"/>
          <w:highlight w:val="none"/>
          <w:lang w:val="en-US" w:eastAsia="zh-CN" w:bidi="ar-SA"/>
        </w:rPr>
        <w:t>”原则，</w:t>
      </w:r>
      <w:r>
        <w:rPr>
          <w:rFonts w:hint="eastAsia" w:ascii="仿宋_GB2312" w:eastAsia="仿宋_GB2312" w:cs="DejaVu Sans"/>
          <w:color w:val="auto"/>
          <w:kern w:val="2"/>
          <w:sz w:val="32"/>
          <w:szCs w:val="32"/>
          <w:highlight w:val="none"/>
          <w:lang w:val="en-US" w:eastAsia="zh-CN" w:bidi="ar-SA"/>
        </w:rPr>
        <w:t>将农村集体资产资源交易、小微工程建设、购买服务等事项纳入农村产权交易平台公开竞价交易，</w:t>
      </w:r>
      <w:r>
        <w:rPr>
          <w:rFonts w:hint="eastAsia" w:ascii="仿宋_GB2312" w:hAnsi="DejaVu Sans" w:eastAsia="仿宋_GB2312" w:cs="DejaVu Sans"/>
          <w:color w:val="auto"/>
          <w:kern w:val="2"/>
          <w:sz w:val="32"/>
          <w:szCs w:val="32"/>
          <w:highlight w:val="none"/>
          <w:lang w:val="en-US" w:eastAsia="zh-CN" w:bidi="ar-SA"/>
        </w:rPr>
        <w:t>实现规范交易行为和市场“溢价”有效统一</w:t>
      </w:r>
      <w:r>
        <w:rPr>
          <w:rFonts w:hint="eastAsia" w:ascii="仿宋_GB2312" w:eastAsia="仿宋_GB2312" w:cs="DejaVu Sans"/>
          <w:color w:val="auto"/>
          <w:kern w:val="2"/>
          <w:sz w:val="32"/>
          <w:szCs w:val="32"/>
          <w:highlight w:val="none"/>
          <w:lang w:val="en-US" w:eastAsia="zh-CN" w:bidi="ar-SA"/>
        </w:rPr>
        <w:t>。</w:t>
      </w:r>
    </w:p>
    <w:p w14:paraId="641336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DejaVu Sans" w:eastAsia="仿宋_GB2312" w:cs="DejaVu Sans"/>
          <w:color w:val="auto"/>
          <w:kern w:val="2"/>
          <w:sz w:val="32"/>
          <w:szCs w:val="32"/>
          <w:highlight w:val="none"/>
          <w:lang w:val="en-US" w:eastAsia="zh-CN" w:bidi="ar-SA"/>
        </w:rPr>
      </w:pPr>
      <w:r>
        <w:rPr>
          <w:rFonts w:hint="eastAsia" w:eastAsia="仿宋_GB2312" w:cs="DejaVu Sans"/>
          <w:b/>
          <w:bCs/>
          <w:color w:val="auto"/>
          <w:sz w:val="32"/>
          <w:szCs w:val="32"/>
          <w:highlight w:val="none"/>
          <w:lang w:val="en-US" w:eastAsia="zh-CN"/>
        </w:rPr>
        <w:t>优化</w:t>
      </w:r>
      <w:r>
        <w:rPr>
          <w:rFonts w:hint="eastAsia" w:ascii="仿宋_GB2312" w:hAnsi="DejaVu Sans" w:eastAsia="仿宋_GB2312" w:cs="DejaVu Sans"/>
          <w:b/>
          <w:bCs/>
          <w:color w:val="auto"/>
          <w:kern w:val="2"/>
          <w:sz w:val="32"/>
          <w:szCs w:val="32"/>
          <w:highlight w:val="none"/>
          <w:lang w:val="en-US" w:eastAsia="zh-CN" w:bidi="ar-SA"/>
        </w:rPr>
        <w:t>农村集体经济组织收益分配</w:t>
      </w:r>
      <w:r>
        <w:rPr>
          <w:rFonts w:hint="eastAsia" w:ascii="仿宋_GB2312" w:eastAsia="仿宋_GB2312" w:cs="DejaVu Sans"/>
          <w:b/>
          <w:bCs/>
          <w:color w:val="auto"/>
          <w:kern w:val="2"/>
          <w:sz w:val="32"/>
          <w:szCs w:val="32"/>
          <w:highlight w:val="none"/>
          <w:lang w:val="en-US" w:eastAsia="zh-CN" w:bidi="ar-SA"/>
        </w:rPr>
        <w:t>机制。</w:t>
      </w:r>
      <w:r>
        <w:rPr>
          <w:rFonts w:hint="eastAsia" w:ascii="仿宋_GB2312" w:hAnsi="DejaVu Sans" w:eastAsia="仿宋_GB2312" w:cs="DejaVu Sans"/>
          <w:color w:val="auto"/>
          <w:kern w:val="2"/>
          <w:sz w:val="32"/>
          <w:szCs w:val="32"/>
          <w:highlight w:val="none"/>
          <w:lang w:val="en-US" w:eastAsia="zh-CN" w:bidi="ar-SA"/>
        </w:rPr>
        <w:t>探索建立健全兼顾集体经济组织成员共同利益</w:t>
      </w:r>
      <w:r>
        <w:rPr>
          <w:rFonts w:hint="eastAsia" w:ascii="仿宋_GB2312" w:eastAsia="仿宋_GB2312" w:cs="DejaVu Sans"/>
          <w:color w:val="auto"/>
          <w:kern w:val="2"/>
          <w:sz w:val="32"/>
          <w:szCs w:val="32"/>
          <w:highlight w:val="none"/>
          <w:lang w:val="en-US" w:eastAsia="zh-CN" w:bidi="ar-SA"/>
        </w:rPr>
        <w:t>的收</w:t>
      </w:r>
      <w:r>
        <w:rPr>
          <w:rFonts w:hint="eastAsia" w:ascii="仿宋_GB2312" w:hAnsi="DejaVu Sans" w:eastAsia="仿宋_GB2312" w:cs="DejaVu Sans"/>
          <w:color w:val="auto"/>
          <w:kern w:val="2"/>
          <w:sz w:val="32"/>
          <w:szCs w:val="32"/>
          <w:highlight w:val="none"/>
          <w:lang w:val="en-US" w:eastAsia="zh-CN" w:bidi="ar-SA"/>
        </w:rPr>
        <w:t>益分配体系，</w:t>
      </w:r>
      <w:r>
        <w:rPr>
          <w:rFonts w:hint="eastAsia" w:ascii="仿宋_GB2312" w:eastAsia="仿宋_GB2312" w:cs="DejaVu Sans"/>
          <w:color w:val="auto"/>
          <w:kern w:val="2"/>
          <w:sz w:val="32"/>
          <w:szCs w:val="32"/>
          <w:highlight w:val="none"/>
          <w:lang w:val="en-US" w:eastAsia="zh-CN" w:bidi="ar-SA"/>
        </w:rPr>
        <w:t>优化人员分类管理、收益分段计算、收益权自愿退出等机制，鼓励符合条件的集体经济组织开展收益分配，力争到2030年</w:t>
      </w:r>
      <w:r>
        <w:rPr>
          <w:rFonts w:hint="eastAsia" w:ascii="仿宋_GB2312" w:hAnsi="DejaVu Sans" w:eastAsia="仿宋_GB2312" w:cs="DejaVu Sans"/>
          <w:color w:val="auto"/>
          <w:kern w:val="2"/>
          <w:sz w:val="32"/>
          <w:szCs w:val="32"/>
          <w:highlight w:val="none"/>
          <w:lang w:val="en-US" w:eastAsia="zh-CN" w:bidi="ar-SA"/>
        </w:rPr>
        <w:t>全区收益分配总额达到1亿元。鼓励符合条件的镇级集体经济组织建立收益分配机制。</w:t>
      </w:r>
    </w:p>
    <w:p w14:paraId="222E6B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DejaVu Sans" w:eastAsia="仿宋_GB2312" w:cs="DejaVu Sans"/>
          <w:color w:val="auto"/>
          <w:kern w:val="2"/>
          <w:sz w:val="32"/>
          <w:szCs w:val="32"/>
          <w:highlight w:val="none"/>
          <w:lang w:val="en-US" w:eastAsia="zh-CN" w:bidi="ar-SA"/>
        </w:rPr>
      </w:pPr>
      <w:r>
        <w:rPr>
          <w:rFonts w:hint="eastAsia" w:ascii="仿宋_GB2312" w:hAnsi="DejaVu Sans" w:eastAsia="仿宋_GB2312" w:cs="DejaVu Sans"/>
          <w:b/>
          <w:bCs/>
          <w:color w:val="auto"/>
          <w:kern w:val="2"/>
          <w:sz w:val="32"/>
          <w:szCs w:val="32"/>
          <w:highlight w:val="none"/>
          <w:lang w:val="en-US" w:eastAsia="zh-CN" w:bidi="ar-SA"/>
        </w:rPr>
        <w:t>强化</w:t>
      </w:r>
      <w:r>
        <w:rPr>
          <w:rFonts w:hint="eastAsia" w:ascii="仿宋_GB2312" w:eastAsia="仿宋_GB2312" w:cs="DejaVu Sans"/>
          <w:b/>
          <w:bCs/>
          <w:color w:val="auto"/>
          <w:kern w:val="2"/>
          <w:sz w:val="32"/>
          <w:szCs w:val="32"/>
          <w:highlight w:val="none"/>
          <w:lang w:val="en-US" w:eastAsia="zh-CN" w:bidi="ar-SA"/>
        </w:rPr>
        <w:t>农村集体经济组织管理。</w:t>
      </w:r>
      <w:r>
        <w:rPr>
          <w:rFonts w:hint="eastAsia" w:ascii="仿宋_GB2312" w:hAnsi="仿宋_GB2312" w:eastAsia="仿宋_GB2312" w:cs="仿宋_GB2312"/>
          <w:color w:val="auto"/>
          <w:kern w:val="0"/>
          <w:sz w:val="32"/>
          <w:szCs w:val="32"/>
          <w:highlight w:val="none"/>
          <w:lang w:val="en-US" w:eastAsia="zh-CN" w:bidi="ar"/>
        </w:rPr>
        <w:t>完善农村集体经济组织治理结构，</w:t>
      </w:r>
      <w:r>
        <w:rPr>
          <w:rFonts w:hint="eastAsia" w:ascii="仿宋_GB2312" w:hAnsi="仿宋_GB2312" w:eastAsia="仿宋_GB2312" w:cs="仿宋_GB2312"/>
          <w:i w:val="0"/>
          <w:iCs w:val="0"/>
          <w:caps w:val="0"/>
          <w:color w:val="auto"/>
          <w:spacing w:val="-4"/>
          <w:kern w:val="0"/>
          <w:sz w:val="32"/>
          <w:szCs w:val="32"/>
          <w:highlight w:val="none"/>
          <w:shd w:val="clear" w:color="auto" w:fill="FFFFFF"/>
          <w:lang w:val="en-US" w:eastAsia="zh-CN" w:bidi="ar"/>
        </w:rPr>
        <w:t>充分发挥理事会、监事会、成员（代表）会议作用，</w:t>
      </w:r>
      <w:r>
        <w:rPr>
          <w:rFonts w:hint="eastAsia" w:ascii="仿宋_GB2312" w:hAnsi="仿宋_GB2312" w:eastAsia="仿宋_GB2312" w:cs="仿宋_GB2312"/>
          <w:color w:val="auto"/>
          <w:kern w:val="0"/>
          <w:sz w:val="32"/>
          <w:szCs w:val="32"/>
          <w:highlight w:val="none"/>
          <w:lang w:val="en-US" w:eastAsia="zh-CN" w:bidi="ar"/>
        </w:rPr>
        <w:t>规范组织内部管理。</w:t>
      </w:r>
      <w:r>
        <w:rPr>
          <w:rFonts w:hint="eastAsia" w:ascii="仿宋_GB2312" w:eastAsia="仿宋_GB2312" w:cs="DejaVu Sans"/>
          <w:color w:val="auto"/>
          <w:kern w:val="2"/>
          <w:sz w:val="32"/>
          <w:szCs w:val="32"/>
          <w:highlight w:val="none"/>
          <w:lang w:val="en-US" w:eastAsia="zh-CN" w:bidi="ar-SA"/>
        </w:rPr>
        <w:t>加强</w:t>
      </w:r>
      <w:r>
        <w:rPr>
          <w:rFonts w:hint="eastAsia" w:ascii="仿宋_GB2312" w:hAnsi="DejaVu Sans" w:eastAsia="仿宋_GB2312" w:cs="DejaVu Sans"/>
          <w:color w:val="auto"/>
          <w:kern w:val="2"/>
          <w:sz w:val="32"/>
          <w:szCs w:val="32"/>
          <w:highlight w:val="none"/>
          <w:lang w:val="en-US" w:eastAsia="zh-CN" w:bidi="ar-SA"/>
        </w:rPr>
        <w:t>镇村集体企业管理</w:t>
      </w:r>
      <w:r>
        <w:rPr>
          <w:rFonts w:hint="eastAsia" w:ascii="仿宋_GB2312" w:eastAsia="仿宋_GB2312" w:cs="DejaVu Sans"/>
          <w:color w:val="auto"/>
          <w:kern w:val="2"/>
          <w:sz w:val="32"/>
          <w:szCs w:val="32"/>
          <w:highlight w:val="none"/>
          <w:lang w:val="en-US" w:eastAsia="zh-CN" w:bidi="ar-SA"/>
        </w:rPr>
        <w:t>，理顺镇村集体企业投资关系和产权关系，定期开展集体企业清查排摸，及时清理“僵尸企业”“空壳公司”。</w:t>
      </w:r>
      <w:r>
        <w:rPr>
          <w:rFonts w:hint="eastAsia" w:ascii="仿宋_GB2312" w:hAnsi="仿宋_GB2312" w:eastAsia="仿宋_GB2312" w:cs="仿宋_GB2312"/>
          <w:color w:val="auto"/>
          <w:sz w:val="32"/>
          <w:szCs w:val="32"/>
          <w:highlight w:val="none"/>
        </w:rPr>
        <w:t>实施农村集体“三资”数字化监督、全过程监管</w:t>
      </w:r>
      <w:r>
        <w:rPr>
          <w:rFonts w:hint="eastAsia" w:ascii="仿宋_GB2312" w:hAnsi="仿宋_GB2312" w:eastAsia="仿宋_GB2312" w:cs="仿宋_GB2312"/>
          <w:color w:val="auto"/>
          <w:sz w:val="32"/>
          <w:szCs w:val="32"/>
          <w:highlight w:val="none"/>
          <w:lang w:eastAsia="zh-CN"/>
        </w:rPr>
        <w:t>，</w:t>
      </w:r>
      <w:r>
        <w:rPr>
          <w:rFonts w:hint="eastAsia" w:ascii="仿宋_GB2312" w:hAnsi="DejaVu Sans" w:eastAsia="仿宋_GB2312" w:cs="DejaVu Sans"/>
          <w:color w:val="auto"/>
          <w:kern w:val="2"/>
          <w:sz w:val="32"/>
          <w:szCs w:val="32"/>
          <w:highlight w:val="none"/>
          <w:lang w:val="en-US" w:eastAsia="zh-CN" w:bidi="ar-SA"/>
        </w:rPr>
        <w:t>严控农村集体经济组织经营风险和债务，持续深化农村集体资金、资产和资源管理专项整治工作。</w:t>
      </w:r>
    </w:p>
    <w:p w14:paraId="25BD1DA2">
      <w:pPr>
        <w:keepNext w:val="0"/>
        <w:keepLines w:val="0"/>
        <w:pageBreakBefore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eastAsia="仿宋_GB2312" w:cs="DejaVu Sans"/>
          <w:b/>
          <w:bCs/>
          <w:color w:val="auto"/>
          <w:kern w:val="2"/>
          <w:sz w:val="32"/>
          <w:szCs w:val="32"/>
          <w:highlight w:val="none"/>
          <w:lang w:val="en-US" w:eastAsia="zh-CN" w:bidi="ar-SA"/>
        </w:rPr>
      </w:pPr>
      <w:r>
        <w:rPr>
          <w:rFonts w:hint="eastAsia" w:ascii="仿宋_GB2312" w:eastAsia="仿宋_GB2312" w:cs="DejaVu Sans"/>
          <w:b/>
          <w:bCs/>
          <w:color w:val="auto"/>
          <w:kern w:val="2"/>
          <w:sz w:val="32"/>
          <w:szCs w:val="32"/>
          <w:highlight w:val="none"/>
          <w:lang w:val="en-US" w:eastAsia="zh-CN" w:bidi="ar-SA"/>
        </w:rPr>
        <w:t>2.推进农村“三块地”改革</w:t>
      </w:r>
    </w:p>
    <w:p w14:paraId="23397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DejaVu Sans" w:eastAsia="仿宋_GB2312" w:cs="DejaVu Sans"/>
          <w:color w:val="auto"/>
          <w:kern w:val="2"/>
          <w:sz w:val="32"/>
          <w:szCs w:val="32"/>
          <w:highlight w:val="none"/>
          <w:lang w:val="en-US" w:eastAsia="zh-CN" w:bidi="ar-SA"/>
        </w:rPr>
      </w:pPr>
      <w:r>
        <w:rPr>
          <w:rFonts w:hint="eastAsia" w:ascii="仿宋_GB2312" w:hAnsi="DejaVu Sans" w:eastAsia="仿宋_GB2312" w:cs="DejaVu Sans"/>
          <w:b/>
          <w:bCs/>
          <w:color w:val="auto"/>
          <w:kern w:val="2"/>
          <w:sz w:val="32"/>
          <w:szCs w:val="32"/>
          <w:highlight w:val="none"/>
          <w:lang w:val="en-US" w:eastAsia="zh-CN" w:bidi="ar-SA"/>
        </w:rPr>
        <w:t>稳定农村土地承包关系</w:t>
      </w:r>
      <w:r>
        <w:rPr>
          <w:rFonts w:hint="eastAsia" w:ascii="仿宋_GB2312" w:eastAsia="仿宋_GB2312" w:cs="DejaVu Sans"/>
          <w:b/>
          <w:bCs/>
          <w:color w:val="auto"/>
          <w:kern w:val="2"/>
          <w:sz w:val="32"/>
          <w:szCs w:val="32"/>
          <w:highlight w:val="none"/>
          <w:lang w:val="en-US" w:eastAsia="zh-CN" w:bidi="ar-SA"/>
        </w:rPr>
        <w:t>。</w:t>
      </w:r>
      <w:r>
        <w:rPr>
          <w:rFonts w:hint="eastAsia" w:ascii="仿宋_GB2312" w:hAnsi="DejaVu Sans" w:eastAsia="仿宋_GB2312" w:cs="DejaVu Sans"/>
          <w:color w:val="auto"/>
          <w:kern w:val="2"/>
          <w:sz w:val="32"/>
          <w:szCs w:val="32"/>
          <w:highlight w:val="none"/>
          <w:lang w:val="en-US" w:eastAsia="zh-CN" w:bidi="ar-SA"/>
        </w:rPr>
        <w:t>坚持“大稳定、小调整”，有序推进第二轮土地承包到期后再延长三十年，发展农业适度规模经营。健全农村土地经营权流转管理制度、</w:t>
      </w:r>
      <w:r>
        <w:rPr>
          <w:rFonts w:hint="eastAsia" w:ascii="仿宋_GB2312" w:eastAsia="仿宋_GB2312" w:cs="DejaVu Sans"/>
          <w:color w:val="auto"/>
          <w:kern w:val="2"/>
          <w:sz w:val="32"/>
          <w:szCs w:val="32"/>
          <w:highlight w:val="none"/>
          <w:lang w:val="en-US" w:eastAsia="zh-CN" w:bidi="ar-SA"/>
        </w:rPr>
        <w:t>承包经营权流转价格形成机制和引导机制，</w:t>
      </w:r>
      <w:r>
        <w:rPr>
          <w:rFonts w:hint="eastAsia" w:ascii="仿宋_GB2312" w:hAnsi="DejaVu Sans" w:eastAsia="仿宋_GB2312" w:cs="DejaVu Sans"/>
          <w:color w:val="auto"/>
          <w:kern w:val="2"/>
          <w:sz w:val="32"/>
          <w:szCs w:val="32"/>
          <w:highlight w:val="none"/>
          <w:lang w:val="en-US" w:eastAsia="zh-CN" w:bidi="ar-SA"/>
        </w:rPr>
        <w:t>保障流转土地稳定经营</w:t>
      </w:r>
      <w:r>
        <w:rPr>
          <w:rFonts w:hint="eastAsia" w:ascii="仿宋_GB2312" w:eastAsia="仿宋_GB2312" w:cs="DejaVu Sans"/>
          <w:color w:val="auto"/>
          <w:kern w:val="2"/>
          <w:sz w:val="32"/>
          <w:szCs w:val="32"/>
          <w:highlight w:val="none"/>
          <w:lang w:val="en-US" w:eastAsia="zh-CN" w:bidi="ar-SA"/>
        </w:rPr>
        <w:t>。</w:t>
      </w:r>
      <w:r>
        <w:rPr>
          <w:rFonts w:hint="eastAsia" w:ascii="仿宋_GB2312" w:hAnsi="DejaVu Sans" w:eastAsia="仿宋_GB2312" w:cs="DejaVu Sans"/>
          <w:color w:val="auto"/>
          <w:kern w:val="2"/>
          <w:sz w:val="32"/>
          <w:szCs w:val="32"/>
          <w:highlight w:val="none"/>
          <w:lang w:val="en-US" w:eastAsia="zh-CN" w:bidi="ar-SA"/>
        </w:rPr>
        <w:t>完善流转土地经营权监管机制，加强流转合同全程在线管理，严控规模农村承包地私下流转，推动土地流转市场健康发展。</w:t>
      </w:r>
    </w:p>
    <w:p w14:paraId="556DB1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DejaVu Sans" w:eastAsia="仿宋_GB2312" w:cs="DejaVu Sans"/>
          <w:color w:val="auto"/>
          <w:kern w:val="2"/>
          <w:sz w:val="32"/>
          <w:szCs w:val="32"/>
          <w:highlight w:val="none"/>
          <w:lang w:val="en-US" w:eastAsia="zh-CN" w:bidi="ar-SA"/>
        </w:rPr>
      </w:pPr>
      <w:r>
        <w:rPr>
          <w:rFonts w:hint="eastAsia" w:ascii="仿宋_GB2312" w:eastAsia="仿宋_GB2312" w:cs="DejaVu Sans"/>
          <w:b/>
          <w:bCs/>
          <w:color w:val="auto"/>
          <w:kern w:val="2"/>
          <w:sz w:val="32"/>
          <w:szCs w:val="32"/>
          <w:highlight w:val="none"/>
          <w:lang w:val="en-US" w:eastAsia="zh-CN" w:bidi="ar-SA"/>
        </w:rPr>
        <w:t>试点</w:t>
      </w:r>
      <w:r>
        <w:rPr>
          <w:rFonts w:hint="eastAsia" w:ascii="仿宋_GB2312" w:hAnsi="DejaVu Sans" w:eastAsia="仿宋_GB2312" w:cs="DejaVu Sans"/>
          <w:b/>
          <w:bCs/>
          <w:color w:val="auto"/>
          <w:kern w:val="2"/>
          <w:sz w:val="32"/>
          <w:szCs w:val="32"/>
          <w:highlight w:val="none"/>
          <w:lang w:val="en-US" w:eastAsia="zh-CN" w:bidi="ar-SA"/>
        </w:rPr>
        <w:t>农村宅基地多元化利用。</w:t>
      </w:r>
      <w:r>
        <w:rPr>
          <w:rFonts w:hint="eastAsia" w:ascii="仿宋_GB2312" w:hAnsi="DejaVu Sans" w:eastAsia="仿宋_GB2312" w:cs="DejaVu Sans"/>
          <w:color w:val="auto"/>
          <w:kern w:val="2"/>
          <w:sz w:val="32"/>
          <w:szCs w:val="32"/>
          <w:highlight w:val="none"/>
          <w:lang w:val="en-US" w:eastAsia="zh-CN" w:bidi="ar-SA"/>
        </w:rPr>
        <w:t>扎实做好房地一体宅基地确权登记颁证，持续夯实农村产权基础，保障农民合法权益。盘活利用闲置农村住房，在尊重农民意愿的前提下，通过出租、入股、合作等方式盘活利用，满足乡村产业、公共服务等方面的需求，实现闲置住房功能和价值。充分发挥大数据作用，形成宅基地信息“一张图”，通过农村宅基地管理服务信息系统，加强农村宅基地管理。</w:t>
      </w:r>
    </w:p>
    <w:p w14:paraId="57913863">
      <w:pPr>
        <w:keepNext w:val="0"/>
        <w:keepLines w:val="0"/>
        <w:pageBreakBefore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default"/>
          <w:color w:val="auto"/>
          <w:highlight w:val="none"/>
          <w:lang w:val="en-US" w:eastAsia="zh-CN"/>
        </w:rPr>
      </w:pPr>
      <w:r>
        <w:rPr>
          <w:rFonts w:hint="eastAsia" w:ascii="DejaVu Sans" w:hAnsi="DejaVu Sans" w:eastAsia="仿宋_GB2312" w:cs="DejaVu Sans"/>
          <w:b/>
          <w:bCs/>
          <w:color w:val="auto"/>
          <w:sz w:val="32"/>
          <w:szCs w:val="32"/>
          <w:highlight w:val="none"/>
          <w:lang w:val="en-US" w:eastAsia="zh-CN"/>
        </w:rPr>
        <w:t>稳妥</w:t>
      </w:r>
      <w:r>
        <w:rPr>
          <w:rFonts w:hint="eastAsia" w:ascii="仿宋_GB2312" w:hAnsi="DejaVu Sans" w:eastAsia="仿宋_GB2312" w:cs="DejaVu Sans"/>
          <w:b/>
          <w:bCs/>
          <w:color w:val="auto"/>
          <w:kern w:val="2"/>
          <w:sz w:val="32"/>
          <w:szCs w:val="32"/>
          <w:highlight w:val="none"/>
          <w:lang w:val="en-US" w:eastAsia="zh-CN" w:bidi="ar-SA"/>
        </w:rPr>
        <w:t>推动农村集体经营性建设用地</w:t>
      </w:r>
      <w:r>
        <w:rPr>
          <w:rFonts w:hint="eastAsia" w:ascii="仿宋_GB2312" w:eastAsia="仿宋_GB2312" w:cs="DejaVu Sans"/>
          <w:b/>
          <w:bCs/>
          <w:color w:val="auto"/>
          <w:kern w:val="2"/>
          <w:sz w:val="32"/>
          <w:szCs w:val="32"/>
          <w:highlight w:val="none"/>
          <w:lang w:val="en-US" w:eastAsia="zh-CN" w:bidi="ar-SA"/>
        </w:rPr>
        <w:t>改革。</w:t>
      </w:r>
      <w:r>
        <w:rPr>
          <w:rFonts w:hint="eastAsia" w:ascii="仿宋_GB2312" w:hAnsi="DejaVu Sans" w:eastAsia="仿宋_GB2312" w:cs="DejaVu Sans"/>
          <w:color w:val="auto"/>
          <w:kern w:val="2"/>
          <w:sz w:val="32"/>
          <w:szCs w:val="32"/>
          <w:highlight w:val="none"/>
          <w:lang w:val="en-US" w:eastAsia="zh-CN" w:bidi="ar-SA"/>
        </w:rPr>
        <w:t>加快推动集体建设用地及房屋等不动产确权登记颁证，建立农村集体资产租赁指导价格制度</w:t>
      </w:r>
      <w:r>
        <w:rPr>
          <w:rFonts w:hint="eastAsia" w:ascii="仿宋_GB2312" w:eastAsia="仿宋_GB2312" w:cs="DejaVu Sans"/>
          <w:color w:val="auto"/>
          <w:kern w:val="2"/>
          <w:sz w:val="32"/>
          <w:szCs w:val="32"/>
          <w:highlight w:val="none"/>
          <w:lang w:val="en-US" w:eastAsia="zh-CN" w:bidi="ar-SA"/>
        </w:rPr>
        <w:t>。</w:t>
      </w:r>
      <w:r>
        <w:rPr>
          <w:rFonts w:hint="eastAsia" w:ascii="仿宋_GB2312" w:hAnsi="DejaVu Sans" w:eastAsia="仿宋_GB2312" w:cs="DejaVu Sans"/>
          <w:color w:val="auto"/>
          <w:kern w:val="2"/>
          <w:sz w:val="32"/>
          <w:szCs w:val="32"/>
          <w:highlight w:val="none"/>
          <w:lang w:val="en-US" w:eastAsia="zh-CN" w:bidi="ar-SA"/>
        </w:rPr>
        <w:t>试点推动农村集体经营性建设用地入市，统筹出让、出租、入股三种入市方式，促进乡村地区土地高质量利用。</w:t>
      </w:r>
      <w:r>
        <w:rPr>
          <w:rFonts w:hint="eastAsia" w:ascii="仿宋_GB2312" w:eastAsia="仿宋_GB2312" w:cs="DejaVu Sans"/>
          <w:color w:val="auto"/>
          <w:kern w:val="2"/>
          <w:sz w:val="32"/>
          <w:szCs w:val="32"/>
          <w:highlight w:val="none"/>
          <w:lang w:val="en-US" w:eastAsia="zh-CN" w:bidi="ar-SA"/>
        </w:rPr>
        <w:t>健全城乡统一的建设用地市场，到2030年，形成流转顺畅、收益共享、监管有力的集体经营性建设用地入市制度。</w:t>
      </w:r>
    </w:p>
    <w:p w14:paraId="598ABD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3.促进农村集体经济高质量发展</w:t>
      </w:r>
    </w:p>
    <w:p w14:paraId="672CA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eastAsia="仿宋_GB2312" w:cs="DejaVu Sans"/>
          <w:b/>
          <w:bCs/>
          <w:color w:val="auto"/>
          <w:kern w:val="2"/>
          <w:sz w:val="32"/>
          <w:szCs w:val="32"/>
          <w:highlight w:val="none"/>
          <w:lang w:val="en-US" w:eastAsia="zh-CN" w:bidi="ar-SA"/>
        </w:rPr>
        <w:t>创新农村集体经济经营模式。</w:t>
      </w:r>
      <w:r>
        <w:rPr>
          <w:rFonts w:hint="eastAsia" w:ascii="仿宋_GB2312" w:eastAsia="仿宋_GB2312" w:cs="DejaVu Sans"/>
          <w:color w:val="auto"/>
          <w:kern w:val="2"/>
          <w:sz w:val="32"/>
          <w:szCs w:val="32"/>
          <w:highlight w:val="none"/>
          <w:lang w:val="en-US" w:eastAsia="zh-CN" w:bidi="ar-SA"/>
        </w:rPr>
        <w:t>推</w:t>
      </w:r>
      <w:r>
        <w:rPr>
          <w:rFonts w:hint="eastAsia" w:ascii="仿宋_GB2312" w:hAnsi="仿宋_GB2312" w:eastAsia="仿宋_GB2312" w:cs="仿宋_GB2312"/>
          <w:color w:val="auto"/>
          <w:kern w:val="2"/>
          <w:sz w:val="32"/>
          <w:szCs w:val="32"/>
          <w:highlight w:val="none"/>
          <w:lang w:val="en-US" w:eastAsia="zh-CN" w:bidi="ar-SA"/>
        </w:rPr>
        <w:t>动片区化联动发展，发挥先进示范村、城乡党组织结对单位、在</w:t>
      </w:r>
      <w:r>
        <w:rPr>
          <w:rFonts w:hint="eastAsia" w:ascii="仿宋_GB2312" w:eastAsia="仿宋_GB2312" w:cs="DejaVu Sans"/>
          <w:color w:val="auto"/>
          <w:kern w:val="2"/>
          <w:sz w:val="32"/>
          <w:szCs w:val="32"/>
          <w:highlight w:val="none"/>
          <w:lang w:val="en-US" w:eastAsia="zh-CN" w:bidi="ar-SA"/>
        </w:rPr>
        <w:t>地国有企业等带动作用，挖掘乡村多元价值，鼓励形成产业规模集聚效应，实现产业共谋、红利共享。探索“整村运营”模式，通过</w:t>
      </w:r>
      <w:r>
        <w:rPr>
          <w:rFonts w:hint="eastAsia" w:ascii="仿宋_GB2312" w:hAnsi="仿宋_GB2312" w:eastAsia="仿宋_GB2312" w:cs="仿宋_GB2312"/>
          <w:color w:val="auto"/>
          <w:sz w:val="32"/>
          <w:szCs w:val="32"/>
          <w:highlight w:val="none"/>
          <w:lang w:val="en-US" w:eastAsia="zh-CN"/>
        </w:rPr>
        <w:t>统一规划、统一收储（或集约流转）、统一配置、统一管理，精准导入符合村庄特质、满足都市消费升级需求的都市现代农业、精品民宿集群、文化创意工坊、研学教育基地、康养旅居社区、数字农业应用场景、低碳乡村体验等新产业、新业态。顺应都市消费需求，建立农村集体经济运营平台，鼓励农村集体经济组织充分整合农村闲置资源，推广“一垄地”订单农业模式，深度链接城市消费终端，促进农村集体经济持续增长。</w:t>
      </w:r>
      <w:r>
        <w:rPr>
          <w:rFonts w:hint="eastAsia" w:ascii="仿宋_GB2312" w:eastAsia="仿宋_GB2312" w:cs="DejaVu Sans"/>
          <w:color w:val="auto"/>
          <w:kern w:val="2"/>
          <w:sz w:val="32"/>
          <w:szCs w:val="32"/>
          <w:highlight w:val="none"/>
          <w:lang w:val="en-US" w:eastAsia="zh-CN" w:bidi="ar-SA"/>
        </w:rPr>
        <w:t>鼓励供销社参与乡村产业发展，探索通过镇社结对、村社合作等方式，助力农村集体经济发</w:t>
      </w:r>
      <w:bookmarkStart w:id="2" w:name="_GoBack"/>
      <w:bookmarkEnd w:id="2"/>
      <w:r>
        <w:rPr>
          <w:rFonts w:hint="eastAsia" w:ascii="仿宋_GB2312" w:eastAsia="仿宋_GB2312" w:cs="DejaVu Sans"/>
          <w:color w:val="auto"/>
          <w:kern w:val="2"/>
          <w:sz w:val="32"/>
          <w:szCs w:val="32"/>
          <w:highlight w:val="none"/>
          <w:lang w:val="en-US" w:eastAsia="zh-CN" w:bidi="ar-SA"/>
        </w:rPr>
        <w:t>展。</w:t>
      </w:r>
      <w:r>
        <w:rPr>
          <w:rFonts w:hint="eastAsia" w:ascii="仿宋_GB2312" w:hAnsi="仿宋_GB2312" w:eastAsia="仿宋_GB2312" w:cs="仿宋_GB2312"/>
          <w:color w:val="auto"/>
          <w:sz w:val="32"/>
          <w:szCs w:val="32"/>
          <w:highlight w:val="none"/>
          <w:lang w:val="en-US" w:eastAsia="zh-CN"/>
        </w:rPr>
        <w:t>力争到2030年，年经营性收入200万元村级集体经济组织达到40个。</w:t>
      </w:r>
    </w:p>
    <w:p w14:paraId="3B01C7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eastAsia="仿宋_GB2312" w:cs="DejaVu Sans"/>
          <w:b/>
          <w:bCs/>
          <w:color w:val="auto"/>
          <w:sz w:val="32"/>
          <w:szCs w:val="32"/>
          <w:highlight w:val="none"/>
          <w:lang w:val="en-US" w:eastAsia="zh-CN"/>
        </w:rPr>
        <w:t>推动农村集体经济多元发展</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按照“一镇一业、一村一品、联农带农”总体思路，</w:t>
      </w:r>
      <w:r>
        <w:rPr>
          <w:rFonts w:hint="eastAsia" w:ascii="仿宋_GB2312" w:hAnsi="仿宋_GB2312" w:eastAsia="仿宋_GB2312" w:cs="仿宋_GB2312"/>
          <w:color w:val="auto"/>
          <w:sz w:val="32"/>
          <w:szCs w:val="32"/>
          <w:highlight w:val="none"/>
          <w:lang w:eastAsia="zh-CN"/>
        </w:rPr>
        <w:t>发展白山羊、甜芦粟、西红花等“家门口”产业，建立“家门口”产业与集体经济组织利益联结机制，鼓励农村集体经济组织通过自主经营、合作经营等方式，</w:t>
      </w:r>
      <w:r>
        <w:rPr>
          <w:rFonts w:hint="eastAsia" w:ascii="仿宋_GB2312" w:hAnsi="仿宋_GB2312" w:eastAsia="仿宋_GB2312" w:cs="仿宋_GB2312"/>
          <w:i w:val="0"/>
          <w:iCs w:val="0"/>
          <w:caps w:val="0"/>
          <w:color w:val="auto"/>
          <w:spacing w:val="0"/>
          <w:kern w:val="2"/>
          <w:sz w:val="32"/>
          <w:szCs w:val="32"/>
          <w:highlight w:val="none"/>
          <w:lang w:val="en-US" w:eastAsia="zh-CN" w:bidi="ar"/>
        </w:rPr>
        <w:t>发展生态康养、休闲文旅、创意工作室等乡村新产业新业态</w:t>
      </w:r>
      <w:r>
        <w:rPr>
          <w:rFonts w:hint="eastAsia" w:ascii="仿宋_GB2312" w:hAnsi="仿宋_GB2312" w:eastAsia="仿宋_GB2312" w:cs="仿宋_GB2312"/>
          <w:color w:val="auto"/>
          <w:sz w:val="32"/>
          <w:szCs w:val="32"/>
          <w:highlight w:val="none"/>
          <w:lang w:eastAsia="zh-CN"/>
        </w:rPr>
        <w:t>。探索培育“田园买手”新型乡村服务队伍，通过个性化、定制化服务，精准对接都市人群。</w:t>
      </w:r>
      <w:r>
        <w:rPr>
          <w:rFonts w:hint="eastAsia" w:ascii="仿宋_GB2312" w:hAnsi="仿宋_GB2312" w:eastAsia="仿宋_GB2312" w:cs="仿宋_GB2312"/>
          <w:color w:val="auto"/>
          <w:sz w:val="32"/>
          <w:szCs w:val="32"/>
          <w:highlight w:val="none"/>
          <w:lang w:val="en-US" w:eastAsia="zh-CN"/>
        </w:rPr>
        <w:t>做强居间服务，支持农村集体经济组织承接或参与</w:t>
      </w:r>
      <w:r>
        <w:rPr>
          <w:rFonts w:hint="eastAsia" w:ascii="仿宋_GB2312" w:hAnsi="仿宋_GB2312" w:eastAsia="仿宋_GB2312" w:cs="仿宋_GB2312"/>
          <w:i w:val="0"/>
          <w:iCs w:val="0"/>
          <w:caps w:val="0"/>
          <w:color w:val="auto"/>
          <w:spacing w:val="0"/>
          <w:kern w:val="2"/>
          <w:sz w:val="32"/>
          <w:szCs w:val="32"/>
          <w:highlight w:val="none"/>
          <w:lang w:val="en-US" w:eastAsia="zh-CN" w:bidi="ar"/>
        </w:rPr>
        <w:t>区域内农田水利维护、绿化养护、环境卫生、河道保洁、农业社会化服务等乡村社会服务</w:t>
      </w:r>
      <w:r>
        <w:rPr>
          <w:rFonts w:hint="eastAsia" w:ascii="仿宋_GB2312" w:hAnsi="仿宋_GB2312" w:eastAsia="仿宋_GB2312" w:cs="仿宋_GB2312"/>
          <w:color w:val="auto"/>
          <w:sz w:val="32"/>
          <w:szCs w:val="32"/>
          <w:highlight w:val="none"/>
          <w:lang w:val="en-US" w:eastAsia="zh-CN"/>
        </w:rPr>
        <w:t>，根据市场化原则收取服务费用。加强项目牵引，支持农村集体经济组织开展都市现代农业、设施菜田、高标准农田、文创产业发展等各类项目建设，</w:t>
      </w:r>
      <w:r>
        <w:rPr>
          <w:rFonts w:hint="eastAsia" w:ascii="仿宋_GB2312" w:hAnsi="仿宋_GB2312" w:eastAsia="仿宋_GB2312" w:cs="仿宋_GB2312"/>
          <w:i w:val="0"/>
          <w:iCs w:val="0"/>
          <w:caps w:val="0"/>
          <w:color w:val="auto"/>
          <w:spacing w:val="0"/>
          <w:kern w:val="2"/>
          <w:sz w:val="32"/>
          <w:szCs w:val="32"/>
          <w:highlight w:val="none"/>
          <w:lang w:val="en-US" w:eastAsia="zh-CN" w:bidi="ar"/>
        </w:rPr>
        <w:t>探索建立财政资金形成的农业项目资产收益镇村分享机制。</w:t>
      </w:r>
    </w:p>
    <w:p w14:paraId="7EF6D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提高农村综合帮扶效能。</w:t>
      </w:r>
      <w:r>
        <w:rPr>
          <w:rFonts w:hint="eastAsia" w:ascii="仿宋_GB2312" w:hAnsi="仿宋_GB2312" w:eastAsia="仿宋_GB2312" w:cs="仿宋_GB2312"/>
          <w:b w:val="0"/>
          <w:bCs w:val="0"/>
          <w:color w:val="auto"/>
          <w:kern w:val="2"/>
          <w:sz w:val="32"/>
          <w:szCs w:val="32"/>
          <w:highlight w:val="none"/>
          <w:lang w:val="en-US" w:eastAsia="zh-CN" w:bidi="ar-SA"/>
        </w:rPr>
        <w:t>整合资源拓展帮扶维度，构建政府引导、企业参与、社会协同的多元帮扶格局，从产业培育、人才培养、公共服务等维度发力，实现全面性和可持续性帮扶。加强管理提升帮扶质效，完善综合帮扶项目长效管理机制，探索部分收益再投入区级农村集体经济发展平台等路径，通过持续投入优化产业生态，增强集体经济的市场竞争力和自我发展能力，提升集体经济“造血”能力，实现从“外部输血”到“内生发展” 的良性转变。</w:t>
      </w:r>
    </w:p>
    <w:p w14:paraId="7490131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outlineLvl w:val="0"/>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五、工作保障措施</w:t>
      </w:r>
    </w:p>
    <w:p w14:paraId="3D12F24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（一）坚持党的领导</w:t>
      </w:r>
    </w:p>
    <w:p w14:paraId="7635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坚持和加强党对“三农”工作的全面领导，贯彻落实乡村振兴责任制，落实区、（乡）镇、村三级书记抓乡村振兴的工作要求，完善全面覆盖、职责清晰、各司其责、合力推进的乡村振兴责任体系。发挥决策协调功能，优化党委领导、政府负责、党委农村工作部门统筹协调的工作推进机制，健全区级统筹、乡镇抓落实的联动工作机制。推进落实乡村振兴战略规划，形成长效管理机制，明确年度工作任务，制定工作实施方案，推动重要改革措施，实施乡村振兴“挂图作战”。</w:t>
      </w:r>
      <w:r>
        <w:rPr>
          <w:rFonts w:hint="eastAsia" w:ascii="DejaVu Sans" w:hAnsi="DejaVu Sans" w:eastAsia="仿宋_GB2312" w:cs="DejaVu Sans"/>
          <w:color w:val="auto"/>
          <w:sz w:val="32"/>
          <w:szCs w:val="32"/>
          <w:highlight w:val="none"/>
          <w:lang w:val="en-US" w:eastAsia="zh-CN"/>
        </w:rPr>
        <w:t>加</w:t>
      </w:r>
      <w:r>
        <w:rPr>
          <w:rFonts w:hint="eastAsia" w:ascii="仿宋_GB2312" w:eastAsia="仿宋_GB2312"/>
          <w:b w:val="0"/>
          <w:bCs w:val="0"/>
          <w:color w:val="auto"/>
          <w:sz w:val="32"/>
          <w:szCs w:val="32"/>
          <w:highlight w:val="none"/>
          <w:lang w:val="en-US" w:eastAsia="zh-CN"/>
        </w:rPr>
        <w:t>强重点难点分析研判，聚焦构建乡村产业体系、大力发展农业新质生产力、聚力乡村全域品质提升、推进城乡全面共同富裕等重点领域，持续开展监测评估和调查研究，加强评估成果运用。</w:t>
      </w:r>
      <w:r>
        <w:rPr>
          <w:rFonts w:hint="eastAsia" w:ascii="仿宋_GB2312" w:eastAsia="仿宋_GB2312" w:cs="DejaVu Sans"/>
          <w:b w:val="0"/>
          <w:bCs w:val="0"/>
          <w:color w:val="auto"/>
          <w:sz w:val="32"/>
          <w:szCs w:val="32"/>
          <w:highlight w:val="none"/>
          <w:lang w:val="en-US" w:eastAsia="zh-CN"/>
        </w:rPr>
        <w:t>加强宣</w:t>
      </w:r>
      <w:r>
        <w:rPr>
          <w:rFonts w:hint="eastAsia" w:ascii="仿宋_GB2312" w:eastAsia="仿宋_GB2312"/>
          <w:b w:val="0"/>
          <w:bCs w:val="0"/>
          <w:color w:val="auto"/>
          <w:sz w:val="32"/>
          <w:szCs w:val="32"/>
          <w:highlight w:val="none"/>
          <w:lang w:val="en-US" w:eastAsia="zh-CN"/>
        </w:rPr>
        <w:t>传和舆论引导，充分发挥群团组织、国有企业等作用，广泛动员各民主党派、无党派人士、企业、社会组织等积极参与，引导高校、科研机构、智库等支持乡村振兴，营造全社会广泛参与乡村振兴的良好氛围。</w:t>
      </w:r>
    </w:p>
    <w:p w14:paraId="32A7FE8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（二）强化资金保障</w:t>
      </w:r>
    </w:p>
    <w:p w14:paraId="2A466BC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cs="DejaVu Sans"/>
          <w:b w:val="0"/>
          <w:bCs w:val="0"/>
          <w:color w:val="auto"/>
          <w:sz w:val="32"/>
          <w:szCs w:val="32"/>
          <w:highlight w:val="none"/>
          <w:lang w:val="en-US" w:eastAsia="zh-CN"/>
        </w:rPr>
      </w:pPr>
      <w:r>
        <w:rPr>
          <w:rFonts w:hint="eastAsia" w:ascii="仿宋_GB2312" w:eastAsia="仿宋_GB2312" w:cs="DejaVu Sans"/>
          <w:b w:val="0"/>
          <w:bCs w:val="0"/>
          <w:color w:val="auto"/>
          <w:sz w:val="32"/>
          <w:szCs w:val="32"/>
          <w:highlight w:val="none"/>
          <w:lang w:val="en-US" w:eastAsia="zh-CN"/>
        </w:rPr>
        <w:t>坚持将农业农村作为一般公共预算优先保障领域，与乡村振兴目标任务相适应，强化绩效管理激励约束。发挥公共财政引导作用，依托农业科创基金引领作用，多渠道增加“三农”领域投入，撬动社会资本，积极探索政府、金融、企业多方合作模式。充分运用央行政策工具，积极争取用好超长期特别国债资金，支持农业农村领域重大工程项目建设和设施设备更新。加大金融资源投入，鼓励金融机构创新金融产品、优惠利率定价、优化还款方式，加大对农业农村现代化重点领域项目的支持。发挥融资担保体系作用，推进担保产品创新，深化农村承包地经营权、集体经营性建设用地使用权，加大对涉农重大项目、涉农小微企业等的信贷支持力度。深化政银保担“四方合作”机制，推进白名单库建设，加强涉农信息归集共享，强化农村信用体系建设。优化农业保险管理体系，鼓励保险机构拓展农业农村保险范围，探索为设施农业、集体物业资产租金损失等提供保险，推动扩面增品提标，形成政策性险种基本保障、区域性险种特色创新、商业性险种先行先试的多层次农业保险保障格局。</w:t>
      </w:r>
    </w:p>
    <w:p w14:paraId="33A2DE1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（三）强化人才支撑</w:t>
      </w:r>
    </w:p>
    <w:p w14:paraId="59DEB1E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推进人才强区建设，加强顶层设计，制定人才引培政策，动态发布人才目录，加强政策宣传解读，服务保障向重点领域人才倾斜。打造人才汇聚高地，加快上海交通大学崇明校区，上外贤达学院二期、三期工程等高等教育院校建设，为乡村振兴提供智力支持和人才保障。实施战略级卓越人才引进计划，搭建集聚专家智慧、延揽急需人才、促进项目对接的柔性平台，邀请国内外顶尖人才、领军人才定期入驻，指导和参与全区乡村振兴建设。开展创新创业人才引进计划，强化创客基地平台载体建设，吸引海内外优秀创新创业人才带技术、带项目、带团队落地崇明。推动崇明籍人才开发计划，开展“燕归巢”“凤来栖”活动，深化“青享社团”等举措，鼓励崇明青年人才回崇创业就业。实施乡村振兴人才培育工程，加强乡村规划、建设、产业、治理和公共服务等人才队伍建设，实施“头雁”“菁英”等农业经营人才培育项目，加大对“乡村CEO”、乡村工匠、乡村手工业者、农民首席技师和技能大师等技能带头人的培养力度。加快培养农业领军人才和现代农业创新创业人才，支持农业领域优秀人才申报本市“东方英才”等各类人才计划，培育一批家庭农场主和合作社职业经理人，提高新型农业经营主体发展质量。加大农民教育培训力度，提高农民科技文化素养和专业技能，培养一批适应农业农村现代化发展要求的高素质农民队伍。</w:t>
      </w:r>
    </w:p>
    <w:p w14:paraId="54BCAB5B">
      <w:pPr>
        <w:numPr>
          <w:ilvl w:val="0"/>
          <w:numId w:val="0"/>
        </w:numPr>
        <w:rPr>
          <w:rFonts w:hint="default" w:ascii="仿宋_GB2312" w:hAnsi="仿宋_GB2312" w:eastAsia="仿宋_GB2312" w:cs="仿宋_GB2312"/>
          <w:b/>
          <w:bCs/>
          <w:i w:val="0"/>
          <w:iCs w:val="0"/>
          <w:color w:val="auto"/>
          <w:kern w:val="0"/>
          <w:sz w:val="24"/>
          <w:szCs w:val="24"/>
          <w:u w:val="none"/>
          <w:lang w:val="en-US" w:eastAsia="zh-CN" w:bidi="ar"/>
        </w:rPr>
      </w:pPr>
    </w:p>
    <w:sectPr>
      <w:headerReference r:id="rId10" w:type="default"/>
      <w:footerReference r:id="rId11"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苹方-简">
    <w:altName w:val="宋体"/>
    <w:panose1 w:val="020B0400000000000000"/>
    <w:charset w:val="86"/>
    <w:family w:val="auto"/>
    <w:pitch w:val="default"/>
    <w:sig w:usb0="00000000" w:usb1="00000000" w:usb2="00000017" w:usb3="00000000" w:csb0="00040001" w:csb1="00000000"/>
  </w:font>
  <w:font w:name="文泉驿微米黑">
    <w:altName w:val="黑体"/>
    <w:panose1 w:val="020B0606030804020204"/>
    <w:charset w:val="86"/>
    <w:family w:val="auto"/>
    <w:pitch w:val="default"/>
    <w:sig w:usb0="00000000" w:usb1="00000000" w:usb2="00800036" w:usb3="00000000" w:csb0="603E019F" w:csb1="DFD70000"/>
  </w:font>
  <w:font w:name="汉仪中黑KW">
    <w:altName w:val="黑体"/>
    <w:panose1 w:val="00020600040101010101"/>
    <w:charset w:val="86"/>
    <w:family w:val="auto"/>
    <w:pitch w:val="default"/>
    <w:sig w:usb0="00000000" w:usb1="00000000" w:usb2="00000016" w:usb3="00000000" w:csb0="00040000" w:csb1="00000000"/>
  </w:font>
  <w:font w:name="MT Extra">
    <w:panose1 w:val="05050102010205020202"/>
    <w:charset w:val="00"/>
    <w:family w:val="auto"/>
    <w:pitch w:val="default"/>
    <w:sig w:usb0="8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6BEF">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CFCFA">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6ECA">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4B6B">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C395A">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BC395A">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4DF0647D">
      <w:pPr>
        <w:pStyle w:val="7"/>
        <w:snapToGrid w:val="0"/>
        <w:rPr>
          <w:rFonts w:hint="eastAsia" w:ascii="仿宋_GB2312" w:hAnsi="仿宋_GB2312" w:eastAsia="仿宋_GB2312" w:cs="仿宋_GB2312"/>
          <w:sz w:val="18"/>
          <w:szCs w:val="18"/>
        </w:rPr>
      </w:pPr>
      <w:r>
        <w:rPr>
          <w:rStyle w:val="15"/>
          <w:rFonts w:hint="eastAsia" w:ascii="仿宋_GB2312" w:hAnsi="仿宋_GB2312" w:eastAsia="仿宋_GB2312" w:cs="仿宋_GB2312"/>
          <w:sz w:val="18"/>
          <w:szCs w:val="18"/>
        </w:rPr>
        <w:footnoteRef/>
      </w:r>
      <w:r>
        <w:rPr>
          <w:rFonts w:hint="eastAsia" w:ascii="仿宋_GB2312" w:hAnsi="仿宋_GB2312" w:eastAsia="仿宋_GB2312" w:cs="仿宋_GB2312"/>
          <w:color w:val="auto"/>
          <w:sz w:val="18"/>
          <w:szCs w:val="18"/>
          <w:highlight w:val="none"/>
          <w:lang w:val="en-US" w:eastAsia="zh-CN"/>
        </w:rPr>
        <w:t>“一核一带两区”即：长三角农业硅谷核心区、高科技农业发展带、现代设施农业片区和现代畜禽养殖产业片区。</w:t>
      </w:r>
    </w:p>
  </w:footnote>
  <w:footnote w:id="1">
    <w:p w14:paraId="0555DECC">
      <w:pPr>
        <w:pStyle w:val="7"/>
        <w:snapToGrid w:val="0"/>
      </w:pPr>
      <w:r>
        <w:rPr>
          <w:rStyle w:val="15"/>
        </w:rPr>
        <w:footnoteRef/>
      </w:r>
      <w:r>
        <w:t xml:space="preserve"> </w:t>
      </w:r>
      <w:r>
        <w:rPr>
          <w:rFonts w:hint="eastAsia" w:ascii="仿宋_GB2312" w:hAnsi="仿宋_GB2312" w:eastAsia="仿宋_GB2312" w:cs="仿宋_GB2312"/>
        </w:rPr>
        <w:t>农机社会化服务“1+4+N”三级服务体系</w:t>
      </w:r>
      <w:r>
        <w:rPr>
          <w:rFonts w:hint="eastAsia" w:ascii="仿宋_GB2312" w:hAnsi="仿宋_GB2312" w:eastAsia="仿宋_GB2312" w:cs="仿宋_GB2312"/>
          <w:lang w:eastAsia="zh-CN"/>
        </w:rPr>
        <w:t>：</w:t>
      </w:r>
      <w:r>
        <w:rPr>
          <w:rFonts w:hint="eastAsia" w:ascii="仿宋_GB2312" w:hAnsi="仿宋_GB2312" w:eastAsia="仿宋_GB2312" w:cs="仿宋_GB2312"/>
        </w:rPr>
        <w:t>“1”即</w:t>
      </w:r>
      <w:r>
        <w:rPr>
          <w:rFonts w:hint="eastAsia" w:ascii="仿宋_GB2312" w:hAnsi="仿宋_GB2312" w:eastAsia="仿宋_GB2312" w:cs="仿宋_GB2312"/>
          <w:lang w:val="en-US" w:eastAsia="zh-CN"/>
        </w:rPr>
        <w:t>组建</w:t>
      </w:r>
      <w:r>
        <w:rPr>
          <w:rFonts w:hint="eastAsia" w:ascii="仿宋_GB2312" w:hAnsi="仿宋_GB2312" w:eastAsia="仿宋_GB2312" w:cs="仿宋_GB2312"/>
        </w:rPr>
        <w:t>1个龙头</w:t>
      </w:r>
      <w:r>
        <w:rPr>
          <w:rFonts w:hint="eastAsia" w:ascii="仿宋_GB2312" w:hAnsi="仿宋_GB2312" w:eastAsia="仿宋_GB2312" w:cs="仿宋_GB2312"/>
          <w:lang w:val="en-US" w:eastAsia="zh-CN"/>
        </w:rPr>
        <w:t>集团，</w:t>
      </w:r>
      <w:r>
        <w:rPr>
          <w:rFonts w:hint="eastAsia" w:ascii="仿宋_GB2312" w:hAnsi="仿宋_GB2312" w:eastAsia="仿宋_GB2312" w:cs="仿宋_GB2312"/>
        </w:rPr>
        <w:t>“4”即打造4家区域性农机服务分中心，“N”即N个站点支撑</w:t>
      </w:r>
      <w:r>
        <w:rPr>
          <w:rFonts w:hint="eastAsia" w:ascii="仿宋_GB2312" w:hAnsi="仿宋_GB2312" w:eastAsia="仿宋_GB2312" w:cs="仿宋_GB2312"/>
          <w:lang w:eastAsia="zh-CN"/>
        </w:rPr>
        <w:t>，</w:t>
      </w:r>
      <w:r>
        <w:rPr>
          <w:rFonts w:hint="eastAsia" w:ascii="仿宋_GB2312" w:hAnsi="仿宋_GB2312" w:eastAsia="仿宋_GB2312" w:cs="仿宋_GB2312"/>
        </w:rPr>
        <w:t>通过</w:t>
      </w:r>
      <w:r>
        <w:rPr>
          <w:rFonts w:hint="eastAsia" w:ascii="仿宋_GB2312" w:hAnsi="仿宋_GB2312" w:eastAsia="仿宋_GB2312" w:cs="仿宋_GB2312"/>
          <w:lang w:val="en-US" w:eastAsia="zh-CN"/>
        </w:rPr>
        <w:t>全区</w:t>
      </w:r>
      <w:r>
        <w:rPr>
          <w:rFonts w:hint="eastAsia" w:ascii="仿宋_GB2312" w:hAnsi="仿宋_GB2312" w:eastAsia="仿宋_GB2312" w:cs="仿宋_GB2312"/>
        </w:rPr>
        <w:t>统筹</w:t>
      </w:r>
      <w:r>
        <w:rPr>
          <w:rFonts w:hint="eastAsia" w:ascii="仿宋_GB2312" w:hAnsi="仿宋_GB2312" w:eastAsia="仿宋_GB2312" w:cs="仿宋_GB2312"/>
          <w:lang w:val="en-US" w:eastAsia="zh-CN"/>
        </w:rPr>
        <w:t>和区域化</w:t>
      </w:r>
      <w:r>
        <w:rPr>
          <w:rFonts w:hint="eastAsia" w:ascii="仿宋_GB2312" w:hAnsi="仿宋_GB2312" w:eastAsia="仿宋_GB2312" w:cs="仿宋_GB2312"/>
        </w:rPr>
        <w:t>调配，有效</w:t>
      </w:r>
      <w:r>
        <w:rPr>
          <w:rFonts w:hint="eastAsia" w:ascii="仿宋_GB2312" w:hAnsi="仿宋_GB2312" w:eastAsia="仿宋_GB2312" w:cs="仿宋_GB2312"/>
          <w:lang w:val="en-US" w:eastAsia="zh-CN"/>
        </w:rPr>
        <w:t>保障全区</w:t>
      </w:r>
      <w:r>
        <w:rPr>
          <w:rFonts w:hint="eastAsia" w:ascii="仿宋_GB2312" w:hAnsi="仿宋_GB2312" w:eastAsia="仿宋_GB2312" w:cs="仿宋_GB2312"/>
        </w:rPr>
        <w:t>农机服务。</w:t>
      </w:r>
    </w:p>
  </w:footnote>
  <w:footnote w:id="2">
    <w:p w14:paraId="6806400B">
      <w:pPr>
        <w:pStyle w:val="7"/>
        <w:snapToGrid w:val="0"/>
        <w:rPr>
          <w:rFonts w:hint="eastAsia" w:ascii="仿宋_GB2312" w:hAnsi="仿宋_GB2312" w:eastAsia="仿宋_GB2312" w:cs="仿宋_GB2312"/>
        </w:rPr>
      </w:pPr>
      <w:r>
        <w:rPr>
          <w:rStyle w:val="15"/>
          <w:rFonts w:hint="eastAsia" w:ascii="仿宋_GB2312" w:hAnsi="仿宋_GB2312" w:eastAsia="仿宋_GB2312" w:cs="仿宋_GB2312"/>
        </w:rPr>
        <w:footnoteRef/>
      </w:r>
      <w:r>
        <w:rPr>
          <w:rFonts w:hint="eastAsia" w:ascii="仿宋_GB2312" w:hAnsi="仿宋_GB2312" w:eastAsia="仿宋_GB2312" w:cs="仿宋_GB2312"/>
        </w:rPr>
        <w:t xml:space="preserve"> </w:t>
      </w:r>
      <w:r>
        <w:rPr>
          <w:rFonts w:hint="eastAsia" w:ascii="仿宋_GB2312" w:hAnsi="仿宋_GB2312" w:eastAsia="仿宋_GB2312" w:cs="仿宋_GB2312"/>
          <w:lang w:eastAsia="zh-CN"/>
        </w:rPr>
        <w:t>“</w:t>
      </w:r>
      <w:r>
        <w:rPr>
          <w:rFonts w:hint="eastAsia" w:ascii="仿宋_GB2312" w:hAnsi="仿宋_GB2312" w:eastAsia="仿宋_GB2312" w:cs="仿宋_GB2312"/>
          <w:color w:val="auto"/>
        </w:rPr>
        <w:t>1+</w:t>
      </w:r>
      <w:r>
        <w:rPr>
          <w:rFonts w:hint="eastAsia" w:ascii="仿宋_GB2312" w:hAnsi="仿宋_GB2312" w:eastAsia="仿宋_GB2312" w:cs="仿宋_GB2312"/>
          <w:strike w:val="0"/>
          <w:dstrike w:val="0"/>
          <w:color w:val="auto"/>
          <w:lang w:val="en-US" w:eastAsia="zh-CN"/>
        </w:rPr>
        <w:t>2</w:t>
      </w:r>
      <w:r>
        <w:rPr>
          <w:rFonts w:hint="eastAsia" w:ascii="仿宋_GB2312" w:hAnsi="仿宋_GB2312" w:eastAsia="仿宋_GB2312" w:cs="仿宋_GB2312"/>
          <w:color w:val="auto"/>
        </w:rPr>
        <w:t>+18</w:t>
      </w:r>
      <w:r>
        <w:rPr>
          <w:rFonts w:hint="eastAsia" w:ascii="仿宋_GB2312" w:hAnsi="仿宋_GB2312" w:eastAsia="仿宋_GB2312" w:cs="仿宋_GB2312"/>
          <w:color w:val="auto"/>
          <w:lang w:eastAsia="zh-CN"/>
        </w:rPr>
        <w:t>”品牌体系：</w:t>
      </w:r>
      <w:r>
        <w:rPr>
          <w:rFonts w:hint="eastAsia" w:ascii="仿宋_GB2312" w:hAnsi="仿宋_GB2312" w:eastAsia="仿宋_GB2312" w:cs="仿宋_GB2312"/>
          <w:color w:val="auto"/>
        </w:rPr>
        <w:t>1个“崇明鲜品”平台</w:t>
      </w:r>
      <w:r>
        <w:rPr>
          <w:rFonts w:hint="eastAsia" w:ascii="仿宋_GB2312" w:hAnsi="仿宋_GB2312" w:eastAsia="仿宋_GB2312" w:cs="仿宋_GB2312"/>
          <w:color w:val="auto"/>
          <w:lang w:eastAsia="zh-CN"/>
        </w:rPr>
        <w:t>，</w:t>
      </w:r>
      <w:r>
        <w:rPr>
          <w:rFonts w:hint="eastAsia" w:ascii="仿宋_GB2312" w:hAnsi="仿宋_GB2312" w:eastAsia="仿宋_GB2312" w:cs="仿宋_GB2312"/>
          <w:strike w:val="0"/>
          <w:dstrike w:val="0"/>
          <w:color w:val="auto"/>
          <w:lang w:val="en-US" w:eastAsia="zh-CN"/>
        </w:rPr>
        <w:t>2</w:t>
      </w:r>
      <w:r>
        <w:rPr>
          <w:rFonts w:hint="eastAsia" w:ascii="仿宋_GB2312" w:hAnsi="仿宋_GB2312" w:eastAsia="仿宋_GB2312" w:cs="仿宋_GB2312"/>
          <w:color w:val="auto"/>
        </w:rPr>
        <w:t>个区域公共品牌</w:t>
      </w:r>
      <w:r>
        <w:rPr>
          <w:rFonts w:hint="eastAsia" w:ascii="仿宋_GB2312" w:hAnsi="仿宋_GB2312" w:eastAsia="仿宋_GB2312" w:cs="仿宋_GB2312"/>
          <w:color w:val="auto"/>
          <w:lang w:eastAsia="zh-CN"/>
        </w:rPr>
        <w:t>“崇明鲜品”</w:t>
      </w:r>
      <w:r>
        <w:rPr>
          <w:rFonts w:hint="eastAsia" w:ascii="仿宋_GB2312" w:hAnsi="仿宋_GB2312" w:eastAsia="仿宋_GB2312" w:cs="仿宋_GB2312"/>
          <w:color w:val="auto"/>
        </w:rPr>
        <w:t>“优农三兄弟”</w:t>
      </w:r>
      <w:r>
        <w:rPr>
          <w:rFonts w:hint="eastAsia" w:ascii="仿宋_GB2312" w:hAnsi="仿宋_GB2312" w:eastAsia="仿宋_GB2312" w:cs="仿宋_GB2312"/>
          <w:color w:val="auto"/>
          <w:lang w:eastAsia="zh-CN"/>
        </w:rPr>
        <w:t>，</w:t>
      </w:r>
      <w:r>
        <w:rPr>
          <w:rFonts w:hint="eastAsia" w:ascii="仿宋_GB2312" w:hAnsi="仿宋_GB2312" w:eastAsia="仿宋_GB2312" w:cs="仿宋_GB2312"/>
        </w:rPr>
        <w:t>18个乡镇子品牌。</w:t>
      </w:r>
    </w:p>
  </w:footnote>
  <w:footnote w:id="3">
    <w:p w14:paraId="5ED752E3">
      <w:pPr>
        <w:pStyle w:val="7"/>
        <w:snapToGrid w:val="0"/>
        <w:rPr>
          <w:rFonts w:hint="default" w:eastAsia="仿宋_GB2312"/>
          <w:highlight w:val="none"/>
          <w:lang w:val="en-US" w:eastAsia="zh-CN"/>
        </w:rPr>
      </w:pPr>
      <w:r>
        <w:rPr>
          <w:rStyle w:val="15"/>
          <w:highlight w:val="none"/>
        </w:rPr>
        <w:footnoteRef/>
      </w:r>
      <w:r>
        <w:rPr>
          <w:highlight w:val="none"/>
        </w:rPr>
        <w:t xml:space="preserve"> </w:t>
      </w:r>
      <w:r>
        <w:rPr>
          <w:rFonts w:hint="eastAsia" w:ascii="仿宋_GB2312" w:hAnsi="仿宋_GB2312" w:eastAsia="仿宋_GB2312" w:cs="仿宋_GB2312"/>
          <w:highlight w:val="none"/>
        </w:rPr>
        <w:t>“1+4”平台体系</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“游在崇明”</w:t>
      </w:r>
      <w:r>
        <w:rPr>
          <w:rFonts w:hint="eastAsia" w:ascii="仿宋_GB2312" w:hAnsi="仿宋_GB2312" w:eastAsia="仿宋_GB2312" w:cs="仿宋_GB2312"/>
          <w:strike w:val="0"/>
          <w:dstrike w:val="0"/>
          <w:highlight w:val="none"/>
          <w:lang w:val="en-US" w:eastAsia="zh-CN"/>
        </w:rPr>
        <w:t>以及</w:t>
      </w:r>
      <w:r>
        <w:rPr>
          <w:rFonts w:hint="eastAsia" w:ascii="仿宋_GB2312" w:hAnsi="仿宋_GB2312" w:eastAsia="仿宋_GB2312" w:cs="仿宋_GB2312"/>
          <w:highlight w:val="none"/>
          <w:lang w:val="en-US" w:eastAsia="zh-CN"/>
        </w:rPr>
        <w:t>“吃在崇明”“动在崇明”“学在崇明”“购在崇明”，作为全区统一大平台。</w:t>
      </w:r>
    </w:p>
  </w:footnote>
  <w:footnote w:id="4">
    <w:p w14:paraId="48D8DB7E">
      <w:pPr>
        <w:pStyle w:val="7"/>
        <w:snapToGrid w:val="0"/>
        <w:rPr>
          <w:rFonts w:hint="eastAsia" w:eastAsia="仿宋_GB2312"/>
          <w:lang w:val="en-US" w:eastAsia="zh-CN"/>
        </w:rPr>
      </w:pPr>
      <w:r>
        <w:rPr>
          <w:rStyle w:val="15"/>
        </w:rPr>
        <w:footnoteRef/>
      </w:r>
      <w:r>
        <w:t xml:space="preserve"> </w:t>
      </w:r>
      <w:r>
        <w:rPr>
          <w:rFonts w:hint="eastAsia" w:ascii="仿宋_GB2312" w:hAnsi="仿宋_GB2312" w:eastAsia="仿宋_GB2312" w:cs="仿宋_GB2312"/>
        </w:rPr>
        <w:t>“两镇一带十基地”</w:t>
      </w:r>
      <w:r>
        <w:rPr>
          <w:rFonts w:hint="eastAsia" w:ascii="仿宋_GB2312" w:hAnsi="仿宋_GB2312" w:eastAsia="仿宋_GB2312" w:cs="仿宋_GB2312"/>
          <w:lang w:val="en-US" w:eastAsia="zh-CN"/>
        </w:rPr>
        <w:t>：东滩自行车小镇、西沙明珠湖旅居康养小镇及沿江运动带，在沿江运动带布局自行车、路跑、足球、水上运动、垂钓、军体运动、铁三、马术、太极等10个运动基地。</w:t>
      </w:r>
    </w:p>
  </w:footnote>
  <w:footnote w:id="5">
    <w:p w14:paraId="11A6C33B">
      <w:pPr>
        <w:pStyle w:val="7"/>
        <w:snapToGrid w:val="0"/>
      </w:pPr>
      <w:r>
        <w:rPr>
          <w:rStyle w:val="15"/>
        </w:rPr>
        <w:footnoteRef/>
      </w:r>
      <w:r>
        <w:t xml:space="preserve"> </w:t>
      </w:r>
      <w:r>
        <w:rPr>
          <w:rFonts w:hint="eastAsia" w:ascii="仿宋_GB2312" w:hAnsi="仿宋_GB2312" w:eastAsia="仿宋_GB2312" w:cs="仿宋_GB2312"/>
        </w:rPr>
        <w:t>“一办法两清单”</w:t>
      </w:r>
      <w:r>
        <w:rPr>
          <w:rFonts w:hint="eastAsia" w:ascii="仿宋_GB2312" w:hAnsi="仿宋_GB2312" w:eastAsia="仿宋_GB2312" w:cs="仿宋_GB2312"/>
          <w:lang w:val="en-US" w:eastAsia="zh-CN"/>
        </w:rPr>
        <w:t>：</w:t>
      </w:r>
      <w:r>
        <w:rPr>
          <w:rFonts w:hint="eastAsia" w:ascii="仿宋_GB2312" w:hAnsi="仿宋_GB2312" w:eastAsia="仿宋_GB2312" w:cs="仿宋_GB2312"/>
        </w:rPr>
        <w:t>《上海市居村组织事务准入管理办法（试行）》，以及《上海市居村组织依法履行职责事项清单》和《上海市居村委会依法协助事项清单》</w:t>
      </w:r>
    </w:p>
  </w:footnote>
  <w:footnote w:id="6">
    <w:p w14:paraId="03A35F62">
      <w:pPr>
        <w:pStyle w:val="7"/>
        <w:snapToGrid w:val="0"/>
        <w:rPr>
          <w:rFonts w:hint="default" w:ascii="仿宋_GB2312" w:hAnsi="仿宋_GB2312" w:eastAsia="仿宋_GB2312" w:cs="仿宋_GB2312"/>
          <w:lang w:val="en-US" w:eastAsia="zh-CN"/>
        </w:rPr>
      </w:pPr>
      <w:r>
        <w:rPr>
          <w:rStyle w:val="15"/>
        </w:rPr>
        <w:footnoteRef/>
      </w:r>
      <w:r>
        <w:t xml:space="preserve"> </w:t>
      </w:r>
      <w:r>
        <w:rPr>
          <w:rFonts w:hint="eastAsia" w:ascii="仿宋_GB2312" w:hAnsi="仿宋_GB2312" w:eastAsia="仿宋_GB2312" w:cs="仿宋_GB2312"/>
        </w:rPr>
        <w:t>“</w:t>
      </w:r>
      <w:r>
        <w:rPr>
          <w:rFonts w:hint="eastAsia" w:ascii="仿宋_GB2312" w:hAnsi="仿宋_GB2312" w:eastAsia="仿宋_GB2312" w:cs="仿宋_GB2312"/>
          <w:lang w:eastAsia="zh-CN"/>
        </w:rPr>
        <w:t>五新</w:t>
      </w:r>
      <w:r>
        <w:rPr>
          <w:rFonts w:hint="eastAsia" w:ascii="仿宋_GB2312" w:hAnsi="仿宋_GB2312" w:eastAsia="仿宋_GB2312" w:cs="仿宋_GB2312"/>
        </w:rPr>
        <w:t>”</w:t>
      </w:r>
      <w:r>
        <w:rPr>
          <w:rFonts w:hint="eastAsia" w:ascii="仿宋_GB2312" w:hAnsi="仿宋_GB2312" w:eastAsia="仿宋_GB2312" w:cs="仿宋_GB2312"/>
          <w:lang w:val="en-US" w:eastAsia="zh-CN"/>
        </w:rPr>
        <w:t>行动：引导</w:t>
      </w:r>
      <w:r>
        <w:rPr>
          <w:rFonts w:hint="eastAsia" w:ascii="仿宋_GB2312" w:hAnsi="仿宋_GB2312" w:eastAsia="仿宋_GB2312" w:cs="仿宋_GB2312"/>
          <w:strike w:val="0"/>
          <w:dstrike w:val="0"/>
          <w:highlight w:val="none"/>
          <w:lang w:val="en-US" w:eastAsia="zh-CN"/>
        </w:rPr>
        <w:t>新兴领域</w:t>
      </w:r>
      <w:r>
        <w:rPr>
          <w:rFonts w:hint="eastAsia" w:ascii="仿宋_GB2312" w:hAnsi="仿宋_GB2312" w:eastAsia="仿宋_GB2312" w:cs="仿宋_GB2312"/>
          <w:highlight w:val="none"/>
          <w:lang w:val="en-US" w:eastAsia="zh-CN"/>
        </w:rPr>
        <w:t>群体成</w:t>
      </w:r>
      <w:r>
        <w:rPr>
          <w:rFonts w:hint="eastAsia" w:ascii="仿宋_GB2312" w:hAnsi="仿宋_GB2312" w:eastAsia="仿宋_GB2312" w:cs="仿宋_GB2312"/>
          <w:lang w:val="en-US" w:eastAsia="zh-CN"/>
        </w:rPr>
        <w:t>为移动的“新宣讲员”“新公益员”“新平安员”“新网格员”“新急救员”。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C56F">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BBE35">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B9B0">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FBA5F">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D8B819"/>
    <w:rsid w:val="0DDBC7B8"/>
    <w:rsid w:val="13DB0C1C"/>
    <w:rsid w:val="273DDB10"/>
    <w:rsid w:val="2DDB5C2E"/>
    <w:rsid w:val="2F5DA683"/>
    <w:rsid w:val="31B80E37"/>
    <w:rsid w:val="31FF1CCE"/>
    <w:rsid w:val="376824C3"/>
    <w:rsid w:val="3FD4A70D"/>
    <w:rsid w:val="3FF2F34C"/>
    <w:rsid w:val="3FFB808B"/>
    <w:rsid w:val="3FFFC124"/>
    <w:rsid w:val="4D35BD94"/>
    <w:rsid w:val="4EFF31A9"/>
    <w:rsid w:val="4FFE30F9"/>
    <w:rsid w:val="51741EA4"/>
    <w:rsid w:val="57EFA815"/>
    <w:rsid w:val="57F4B4FC"/>
    <w:rsid w:val="57FB68B6"/>
    <w:rsid w:val="59174730"/>
    <w:rsid w:val="5ABF2B76"/>
    <w:rsid w:val="5BFFC134"/>
    <w:rsid w:val="5D6FFAF9"/>
    <w:rsid w:val="5EEE0C46"/>
    <w:rsid w:val="5EF37BBA"/>
    <w:rsid w:val="5F4E9FA3"/>
    <w:rsid w:val="5F763A9E"/>
    <w:rsid w:val="5FFFA90B"/>
    <w:rsid w:val="6BF9336F"/>
    <w:rsid w:val="6CF7AB22"/>
    <w:rsid w:val="6D0F647F"/>
    <w:rsid w:val="6D9F6EAB"/>
    <w:rsid w:val="6ECE6E6A"/>
    <w:rsid w:val="6F2F85C7"/>
    <w:rsid w:val="6F9E4B5E"/>
    <w:rsid w:val="6FE1D88A"/>
    <w:rsid w:val="6FFBC7B9"/>
    <w:rsid w:val="747771D3"/>
    <w:rsid w:val="767F8D03"/>
    <w:rsid w:val="76FDD434"/>
    <w:rsid w:val="77E4CDB5"/>
    <w:rsid w:val="7AF1A2D7"/>
    <w:rsid w:val="7AF79F77"/>
    <w:rsid w:val="7AFC6E3D"/>
    <w:rsid w:val="7BA9871B"/>
    <w:rsid w:val="7BFFA78C"/>
    <w:rsid w:val="7D732DEB"/>
    <w:rsid w:val="7DBE6C27"/>
    <w:rsid w:val="7DDED557"/>
    <w:rsid w:val="7DF52ED4"/>
    <w:rsid w:val="7DF69FC5"/>
    <w:rsid w:val="7DFAA463"/>
    <w:rsid w:val="7DFD554B"/>
    <w:rsid w:val="7E394F36"/>
    <w:rsid w:val="7E7BCC13"/>
    <w:rsid w:val="7E7F5D1E"/>
    <w:rsid w:val="7E90049F"/>
    <w:rsid w:val="7F37A81A"/>
    <w:rsid w:val="7F3E4EB9"/>
    <w:rsid w:val="7F7B6FA4"/>
    <w:rsid w:val="7FAD1FF3"/>
    <w:rsid w:val="7FB64BB5"/>
    <w:rsid w:val="7FBF6FAB"/>
    <w:rsid w:val="7FBFA8F4"/>
    <w:rsid w:val="7FEC4B3D"/>
    <w:rsid w:val="7FFE8AF6"/>
    <w:rsid w:val="7FFFDBCE"/>
    <w:rsid w:val="87FF1782"/>
    <w:rsid w:val="A7B3F415"/>
    <w:rsid w:val="ADFB9F73"/>
    <w:rsid w:val="B1D7282C"/>
    <w:rsid w:val="B6EF889B"/>
    <w:rsid w:val="B77FFCCE"/>
    <w:rsid w:val="BDFEAD76"/>
    <w:rsid w:val="BFFF0570"/>
    <w:rsid w:val="C7BD00FC"/>
    <w:rsid w:val="D1DFF4FD"/>
    <w:rsid w:val="D78F41B5"/>
    <w:rsid w:val="D7BDEC11"/>
    <w:rsid w:val="DE7E62CA"/>
    <w:rsid w:val="E2FF7E25"/>
    <w:rsid w:val="E6FFA286"/>
    <w:rsid w:val="EAFC40EC"/>
    <w:rsid w:val="EBD8B819"/>
    <w:rsid w:val="EFF611BE"/>
    <w:rsid w:val="F0FF63AD"/>
    <w:rsid w:val="F13BC1BD"/>
    <w:rsid w:val="F47EE546"/>
    <w:rsid w:val="F4EDC1DA"/>
    <w:rsid w:val="FBBF1734"/>
    <w:rsid w:val="FBFE530B"/>
    <w:rsid w:val="FC4295A1"/>
    <w:rsid w:val="FCDB62F0"/>
    <w:rsid w:val="FDD4DCD4"/>
    <w:rsid w:val="FDEBE81B"/>
    <w:rsid w:val="FFB7BD0B"/>
    <w:rsid w:val="FFFD5D29"/>
    <w:rsid w:val="FFFEE881"/>
    <w:rsid w:val="FFFF75C8"/>
    <w:rsid w:val="FFFFC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3"/>
    <w:basedOn w:val="1"/>
    <w:next w:val="1"/>
    <w:semiHidden/>
    <w:qFormat/>
    <w:uiPriority w:val="0"/>
    <w:rPr>
      <w:rFonts w:ascii="仿宋_GB2312" w:hAnsi="仿宋" w:eastAsia="仿宋_GB2312" w:cs="仿宋"/>
      <w:b/>
      <w:sz w:val="32"/>
      <w:szCs w:val="32"/>
    </w:rPr>
  </w:style>
  <w:style w:type="paragraph" w:styleId="3">
    <w:name w:val="Document Map"/>
    <w:basedOn w:val="1"/>
    <w:semiHidden/>
    <w:qFormat/>
    <w:uiPriority w:val="99"/>
    <w:rPr>
      <w:rFonts w:ascii="仿宋_GB2312" w:eastAsia="仿宋_GB2312"/>
      <w:sz w:val="18"/>
      <w:szCs w:val="18"/>
    </w:rPr>
  </w:style>
  <w:style w:type="paragraph" w:styleId="4">
    <w:name w:val="Body Text"/>
    <w:basedOn w:val="1"/>
    <w:qFormat/>
    <w:uiPriority w:val="0"/>
    <w:pPr>
      <w:spacing w:after="120" w:afterLines="7" w:afterAutospacing="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Body Text 2"/>
    <w:basedOn w:val="1"/>
    <w:next w:val="9"/>
    <w:qFormat/>
    <w:uiPriority w:val="0"/>
    <w:pPr>
      <w:ind w:firstLine="1840"/>
    </w:pPr>
    <w:rPr>
      <w:rFonts w:ascii="DejaVu Sans" w:hAnsi="DejaVu Sans" w:eastAsia="文泉驿微米黑" w:cs="DejaVu Sans"/>
    </w:rPr>
  </w:style>
  <w:style w:type="paragraph" w:styleId="9">
    <w:name w:val="Body Text First Indent 2"/>
    <w:basedOn w:val="1"/>
    <w:next w:val="1"/>
    <w:qFormat/>
    <w:uiPriority w:val="0"/>
    <w:pPr>
      <w:ind w:firstLine="420" w:firstLineChars="200"/>
    </w:pPr>
  </w:style>
  <w:style w:type="paragraph" w:styleId="10">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otnote reference"/>
    <w:basedOn w:val="14"/>
    <w:qFormat/>
    <w:uiPriority w:val="0"/>
    <w:rPr>
      <w:vertAlign w:val="superscript"/>
    </w:rPr>
  </w:style>
  <w:style w:type="paragraph" w:customStyle="1" w:styleId="16">
    <w:name w:val="一级标题"/>
    <w:basedOn w:val="1"/>
    <w:qFormat/>
    <w:uiPriority w:val="0"/>
    <w:pPr>
      <w:spacing w:line="560" w:lineRule="exact"/>
      <w:ind w:firstLine="640" w:firstLineChars="200"/>
    </w:pPr>
    <w:rPr>
      <w:rFonts w:ascii="仿宋_GB2312" w:eastAsia="仿宋_GB2312"/>
      <w:sz w:val="32"/>
      <w:szCs w:val="32"/>
    </w:rPr>
  </w:style>
  <w:style w:type="character" w:customStyle="1" w:styleId="17">
    <w:name w:val="15"/>
    <w:basedOn w:val="14"/>
    <w:qFormat/>
    <w:uiPriority w:val="0"/>
    <w:rPr>
      <w:rFonts w:hint="eastAsia" w:ascii="MT Extra" w:hAnsi="MT Extra" w:eastAsia="MT Extra"/>
      <w:color w:val="000000"/>
      <w:spacing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11934</Words>
  <Characters>12088</Characters>
  <Lines>0</Lines>
  <Paragraphs>0</Paragraphs>
  <TotalTime>29</TotalTime>
  <ScaleCrop>false</ScaleCrop>
  <LinksUpToDate>false</LinksUpToDate>
  <CharactersWithSpaces>12089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2025-05-13T01:36:00Z</dcterms:created>
  <dc:creator>user</dc:creator>
  <cp:lastModifiedBy>黄嘉赟</cp:lastModifiedBy>
  <cp:lastPrinted>2025-12-07T12:13:00Z</cp:lastPrinted>
  <dcterms:modified xsi:type="dcterms:W3CDTF">2026-04-09T01:12:05Z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68166CCDB64ECED6744B5B69E31F1BF6_43</vt:lpwstr>
  </property>
  <property fmtid="{D5CDD505-2E9C-101B-9397-08002B2CF9AE}" pid="4" name="KSOTemplateDocerSaveRecord">
    <vt:lpwstr>eyJoZGlkIjoiZDQzYWRlYWE3NzcwYTY3N2IyZDFiMDQ5MzlmYmU3MTAiLCJ1c2VySWQiOiI2NDc5ODc4NTMifQ==</vt:lpwstr>
  </property>
</Properties>
</file>